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DEE4B" w14:textId="77777777" w:rsidR="00486E53" w:rsidRDefault="00486E53" w:rsidP="00486E53">
      <w:pPr>
        <w:jc w:val="both"/>
        <w:rPr>
          <w:rFonts w:eastAsia="Times New Roman"/>
        </w:rPr>
      </w:pPr>
    </w:p>
    <w:p w14:paraId="2F5B8F56" w14:textId="77777777" w:rsidR="00486E53" w:rsidRPr="001A7E38" w:rsidRDefault="00486E53" w:rsidP="00F73338">
      <w:pPr>
        <w:rPr>
          <w:rFonts w:ascii="Arial" w:eastAsia="Times New Roman" w:hAnsi="Arial" w:cs="Arial"/>
          <w:b/>
          <w:u w:val="single"/>
        </w:rPr>
      </w:pPr>
      <w:r w:rsidRPr="001A7E38">
        <w:rPr>
          <w:rFonts w:ascii="Arial" w:eastAsia="Times New Roman" w:hAnsi="Arial" w:cs="Arial"/>
          <w:b/>
          <w:u w:val="single"/>
        </w:rPr>
        <w:t>MetBioNet Workshop</w:t>
      </w:r>
      <w:r w:rsidR="00F73338" w:rsidRPr="001A7E38">
        <w:rPr>
          <w:rFonts w:ascii="Arial" w:eastAsia="Times New Roman" w:hAnsi="Arial" w:cs="Arial"/>
          <w:b/>
          <w:u w:val="single"/>
        </w:rPr>
        <w:t xml:space="preserve"> Report </w:t>
      </w:r>
    </w:p>
    <w:p w14:paraId="669692C8" w14:textId="77777777" w:rsidR="00486E53" w:rsidRPr="001A7E38" w:rsidRDefault="00486E53" w:rsidP="00486E53">
      <w:pPr>
        <w:ind w:left="1440"/>
        <w:jc w:val="center"/>
        <w:rPr>
          <w:rFonts w:ascii="Arial" w:eastAsia="Times New Roman" w:hAnsi="Arial" w:cs="Arial"/>
          <w:b/>
        </w:rPr>
      </w:pPr>
    </w:p>
    <w:p w14:paraId="3989F9DE" w14:textId="77777777" w:rsidR="00486E53" w:rsidRPr="00B9772A" w:rsidRDefault="00F73338" w:rsidP="00F73338">
      <w:pPr>
        <w:rPr>
          <w:rFonts w:ascii="Arial" w:eastAsia="Times New Roman" w:hAnsi="Arial" w:cs="Arial"/>
          <w:b/>
          <w:u w:val="single"/>
        </w:rPr>
      </w:pPr>
      <w:r w:rsidRPr="00B9772A">
        <w:rPr>
          <w:rFonts w:ascii="Arial" w:eastAsia="Times New Roman" w:hAnsi="Arial" w:cs="Arial"/>
          <w:b/>
          <w:u w:val="single"/>
        </w:rPr>
        <w:t>Support for remote/virtual IMD c</w:t>
      </w:r>
      <w:r w:rsidR="00486E53" w:rsidRPr="00B9772A">
        <w:rPr>
          <w:rFonts w:ascii="Arial" w:eastAsia="Times New Roman" w:hAnsi="Arial" w:cs="Arial"/>
          <w:b/>
          <w:u w:val="single"/>
        </w:rPr>
        <w:t>linics</w:t>
      </w:r>
      <w:r w:rsidRPr="00B9772A">
        <w:rPr>
          <w:rFonts w:ascii="Arial" w:eastAsia="Times New Roman" w:hAnsi="Arial" w:cs="Arial"/>
          <w:b/>
          <w:u w:val="single"/>
        </w:rPr>
        <w:t xml:space="preserve"> </w:t>
      </w:r>
      <w:r w:rsidR="000C6AD6" w:rsidRPr="00B9772A">
        <w:rPr>
          <w:rFonts w:ascii="Arial" w:eastAsia="Times New Roman" w:hAnsi="Arial" w:cs="Arial"/>
          <w:b/>
          <w:u w:val="single"/>
        </w:rPr>
        <w:t xml:space="preserve">- </w:t>
      </w:r>
      <w:r w:rsidR="00E87B1E" w:rsidRPr="00B9772A">
        <w:rPr>
          <w:rFonts w:ascii="Arial" w:eastAsia="Times New Roman" w:hAnsi="Arial" w:cs="Arial"/>
          <w:b/>
          <w:u w:val="single"/>
        </w:rPr>
        <w:t>IMD m</w:t>
      </w:r>
      <w:r w:rsidR="000C6AD6" w:rsidRPr="00B9772A">
        <w:rPr>
          <w:rFonts w:ascii="Arial" w:eastAsia="Times New Roman" w:hAnsi="Arial" w:cs="Arial"/>
          <w:b/>
          <w:u w:val="single"/>
        </w:rPr>
        <w:t>onitoring on</w:t>
      </w:r>
      <w:r w:rsidR="004D1076" w:rsidRPr="00B9772A">
        <w:rPr>
          <w:rFonts w:ascii="Arial" w:eastAsia="Times New Roman" w:hAnsi="Arial" w:cs="Arial"/>
          <w:b/>
          <w:u w:val="single"/>
        </w:rPr>
        <w:t xml:space="preserve"> p</w:t>
      </w:r>
      <w:r w:rsidR="00486E53" w:rsidRPr="00B9772A">
        <w:rPr>
          <w:rFonts w:ascii="Arial" w:eastAsia="Times New Roman" w:hAnsi="Arial" w:cs="Arial"/>
          <w:b/>
          <w:u w:val="single"/>
        </w:rPr>
        <w:t>atient collected samples</w:t>
      </w:r>
    </w:p>
    <w:p w14:paraId="7D43931C" w14:textId="77777777" w:rsidR="00E87B1E" w:rsidRDefault="00E87B1E" w:rsidP="00F73338">
      <w:pPr>
        <w:rPr>
          <w:rFonts w:ascii="Arial" w:eastAsia="Times New Roman" w:hAnsi="Arial" w:cs="Arial"/>
          <w:b/>
        </w:rPr>
      </w:pPr>
    </w:p>
    <w:p w14:paraId="246F94BB" w14:textId="77777777" w:rsidR="00486E53" w:rsidRPr="00F73338" w:rsidRDefault="00F73338" w:rsidP="00F73338">
      <w:pPr>
        <w:rPr>
          <w:rFonts w:ascii="Arial" w:eastAsia="Times New Roman" w:hAnsi="Arial" w:cs="Arial"/>
          <w:b/>
        </w:rPr>
      </w:pPr>
      <w:r w:rsidRPr="00F73338">
        <w:rPr>
          <w:rFonts w:ascii="Arial" w:eastAsia="Times New Roman" w:hAnsi="Arial" w:cs="Arial"/>
          <w:b/>
        </w:rPr>
        <w:t>Background</w:t>
      </w:r>
    </w:p>
    <w:p w14:paraId="67A991A3" w14:textId="77777777" w:rsidR="00F73338" w:rsidRDefault="00F73338" w:rsidP="00F73338">
      <w:pPr>
        <w:rPr>
          <w:rFonts w:ascii="Arial" w:eastAsia="Times New Roman" w:hAnsi="Arial" w:cs="Arial"/>
        </w:rPr>
      </w:pPr>
      <w:r>
        <w:rPr>
          <w:rFonts w:ascii="Arial" w:eastAsia="Times New Roman" w:hAnsi="Arial" w:cs="Arial"/>
        </w:rPr>
        <w:t>In response to NHSE &amp; NHSI’</w:t>
      </w:r>
      <w:r w:rsidR="00215E1A">
        <w:rPr>
          <w:rFonts w:ascii="Arial" w:eastAsia="Times New Roman" w:hAnsi="Arial" w:cs="Arial"/>
        </w:rPr>
        <w:t>s call to capture and build on improvements and innovations to clinical pathways</w:t>
      </w:r>
      <w:r>
        <w:rPr>
          <w:rFonts w:ascii="Arial" w:eastAsia="Times New Roman" w:hAnsi="Arial" w:cs="Arial"/>
        </w:rPr>
        <w:t xml:space="preserve"> that have arisen from the COVID-19 pandemic, the Metabolic CRG and BIMDG have identified the provision of remote</w:t>
      </w:r>
      <w:r w:rsidR="0083699D">
        <w:rPr>
          <w:rFonts w:ascii="Arial" w:eastAsia="Times New Roman" w:hAnsi="Arial" w:cs="Arial"/>
        </w:rPr>
        <w:t>/virtual</w:t>
      </w:r>
      <w:r>
        <w:rPr>
          <w:rFonts w:ascii="Arial" w:eastAsia="Times New Roman" w:hAnsi="Arial" w:cs="Arial"/>
        </w:rPr>
        <w:t xml:space="preserve"> clinics </w:t>
      </w:r>
      <w:r w:rsidR="00E87B1E">
        <w:rPr>
          <w:rFonts w:ascii="Arial" w:eastAsia="Times New Roman" w:hAnsi="Arial" w:cs="Arial"/>
        </w:rPr>
        <w:t>as a key priority</w:t>
      </w:r>
      <w:r>
        <w:rPr>
          <w:rFonts w:ascii="Arial" w:eastAsia="Times New Roman" w:hAnsi="Arial" w:cs="Arial"/>
        </w:rPr>
        <w:t xml:space="preserve"> to</w:t>
      </w:r>
      <w:r w:rsidR="00215E1A">
        <w:rPr>
          <w:rFonts w:ascii="Arial" w:eastAsia="Times New Roman" w:hAnsi="Arial" w:cs="Arial"/>
        </w:rPr>
        <w:t xml:space="preserve"> </w:t>
      </w:r>
      <w:r w:rsidR="00DF7BF8">
        <w:rPr>
          <w:rFonts w:ascii="Arial" w:eastAsia="Times New Roman" w:hAnsi="Arial" w:cs="Arial"/>
        </w:rPr>
        <w:t xml:space="preserve">develop and </w:t>
      </w:r>
      <w:r w:rsidR="00215E1A">
        <w:rPr>
          <w:rFonts w:ascii="Arial" w:eastAsia="Times New Roman" w:hAnsi="Arial" w:cs="Arial"/>
        </w:rPr>
        <w:t xml:space="preserve">embed </w:t>
      </w:r>
      <w:r w:rsidR="00DF7BF8">
        <w:rPr>
          <w:rFonts w:ascii="Arial" w:eastAsia="Times New Roman" w:hAnsi="Arial" w:cs="Arial"/>
        </w:rPr>
        <w:t>within service delivery</w:t>
      </w:r>
      <w:r w:rsidR="00215E1A">
        <w:rPr>
          <w:rFonts w:ascii="Arial" w:eastAsia="Times New Roman" w:hAnsi="Arial" w:cs="Arial"/>
        </w:rPr>
        <w:t xml:space="preserve">. A limiting factor for </w:t>
      </w:r>
      <w:r w:rsidR="0083699D">
        <w:rPr>
          <w:rFonts w:ascii="Arial" w:eastAsia="Times New Roman" w:hAnsi="Arial" w:cs="Arial"/>
        </w:rPr>
        <w:t xml:space="preserve">the </w:t>
      </w:r>
      <w:r w:rsidR="00215E1A">
        <w:rPr>
          <w:rFonts w:ascii="Arial" w:eastAsia="Times New Roman" w:hAnsi="Arial" w:cs="Arial"/>
        </w:rPr>
        <w:t>provision of such clinics is the availability and access to routine and specialist blood test</w:t>
      </w:r>
      <w:r w:rsidR="00DF7BF8">
        <w:rPr>
          <w:rFonts w:ascii="Arial" w:eastAsia="Times New Roman" w:hAnsi="Arial" w:cs="Arial"/>
        </w:rPr>
        <w:t>s local to the patient</w:t>
      </w:r>
      <w:r w:rsidR="00215E1A">
        <w:rPr>
          <w:rFonts w:ascii="Arial" w:eastAsia="Times New Roman" w:hAnsi="Arial" w:cs="Arial"/>
        </w:rPr>
        <w:t xml:space="preserve"> and</w:t>
      </w:r>
      <w:r w:rsidR="00850795">
        <w:rPr>
          <w:rFonts w:ascii="Arial" w:eastAsia="Times New Roman" w:hAnsi="Arial" w:cs="Arial"/>
        </w:rPr>
        <w:t xml:space="preserve"> easy</w:t>
      </w:r>
      <w:r w:rsidR="00215E1A">
        <w:rPr>
          <w:rFonts w:ascii="Arial" w:eastAsia="Times New Roman" w:hAnsi="Arial" w:cs="Arial"/>
        </w:rPr>
        <w:t xml:space="preserve"> access to the results. </w:t>
      </w:r>
      <w:r w:rsidR="00DF7BF8">
        <w:rPr>
          <w:rFonts w:ascii="Arial" w:eastAsia="Times New Roman" w:hAnsi="Arial" w:cs="Arial"/>
        </w:rPr>
        <w:t xml:space="preserve">In order to address this, two key work streams </w:t>
      </w:r>
      <w:r w:rsidR="00E87B1E">
        <w:rPr>
          <w:rFonts w:ascii="Arial" w:eastAsia="Times New Roman" w:hAnsi="Arial" w:cs="Arial"/>
        </w:rPr>
        <w:t>have been identified:</w:t>
      </w:r>
    </w:p>
    <w:p w14:paraId="6F4513E5" w14:textId="77777777" w:rsidR="00EC45BD" w:rsidRDefault="00EC45BD" w:rsidP="00F73338">
      <w:pPr>
        <w:rPr>
          <w:rFonts w:ascii="Arial" w:eastAsia="Times New Roman" w:hAnsi="Arial" w:cs="Arial"/>
        </w:rPr>
      </w:pPr>
    </w:p>
    <w:p w14:paraId="481937CB" w14:textId="77777777" w:rsidR="00371D5B" w:rsidRPr="00E87B1E" w:rsidRDefault="00371D5B" w:rsidP="00371D5B">
      <w:pPr>
        <w:pStyle w:val="ListParagraph"/>
        <w:numPr>
          <w:ilvl w:val="0"/>
          <w:numId w:val="15"/>
        </w:numPr>
        <w:rPr>
          <w:rFonts w:ascii="Arial" w:eastAsia="Times New Roman" w:hAnsi="Arial" w:cs="Arial"/>
        </w:rPr>
      </w:pPr>
      <w:r>
        <w:rPr>
          <w:rFonts w:ascii="Arial" w:eastAsia="Times New Roman" w:hAnsi="Arial" w:cs="Arial"/>
        </w:rPr>
        <w:t xml:space="preserve">To identify an IT solution(s) for remote requesting, reporting and reviewing of patient results (both metabolic &amp; routine tests) – this is progressing with support from </w:t>
      </w:r>
      <w:r w:rsidRPr="003E61B9">
        <w:rPr>
          <w:rFonts w:ascii="Arial" w:eastAsia="Times New Roman" w:hAnsi="Arial" w:cs="Arial"/>
          <w:szCs w:val="28"/>
        </w:rPr>
        <w:t>Pathology Lead for Get It Right First Time</w:t>
      </w:r>
      <w:r>
        <w:rPr>
          <w:rFonts w:ascii="Arial" w:eastAsia="Times New Roman" w:hAnsi="Arial" w:cs="Arial"/>
          <w:szCs w:val="28"/>
        </w:rPr>
        <w:t>,</w:t>
      </w:r>
      <w:r w:rsidRPr="003E61B9">
        <w:rPr>
          <w:rFonts w:ascii="Arial" w:eastAsia="Times New Roman" w:hAnsi="Arial" w:cs="Arial"/>
          <w:szCs w:val="28"/>
        </w:rPr>
        <w:t xml:space="preserve"> GIRFT</w:t>
      </w:r>
    </w:p>
    <w:p w14:paraId="0A7E4D7A" w14:textId="77777777" w:rsidR="00EC45BD" w:rsidRDefault="00E87B1E" w:rsidP="00E87B1E">
      <w:pPr>
        <w:pStyle w:val="ListParagraph"/>
        <w:numPr>
          <w:ilvl w:val="0"/>
          <w:numId w:val="15"/>
        </w:numPr>
        <w:rPr>
          <w:rFonts w:ascii="Arial" w:eastAsia="Times New Roman" w:hAnsi="Arial" w:cs="Arial"/>
        </w:rPr>
      </w:pPr>
      <w:r>
        <w:rPr>
          <w:rFonts w:ascii="Arial" w:eastAsia="Times New Roman" w:hAnsi="Arial" w:cs="Arial"/>
        </w:rPr>
        <w:t>To increase the availability of testing of patient collected samples for IMD monitoring</w:t>
      </w:r>
    </w:p>
    <w:p w14:paraId="2A6EF5EC" w14:textId="77777777" w:rsidR="00F734B9" w:rsidRPr="00F734B9" w:rsidRDefault="00F734B9" w:rsidP="00F734B9">
      <w:pPr>
        <w:pStyle w:val="ListParagraph"/>
        <w:rPr>
          <w:rFonts w:ascii="Arial" w:eastAsia="Times New Roman" w:hAnsi="Arial" w:cs="Arial"/>
        </w:rPr>
      </w:pPr>
    </w:p>
    <w:p w14:paraId="7DDD25D6" w14:textId="77777777" w:rsidR="00EC45BD" w:rsidRDefault="00EC45BD" w:rsidP="00E87B1E">
      <w:pPr>
        <w:rPr>
          <w:rFonts w:ascii="Arial" w:eastAsia="Times New Roman" w:hAnsi="Arial" w:cs="Arial"/>
        </w:rPr>
      </w:pPr>
    </w:p>
    <w:p w14:paraId="28019168" w14:textId="77777777" w:rsidR="00EC45BD" w:rsidRPr="00EC45BD" w:rsidRDefault="00EC45BD" w:rsidP="00E87B1E">
      <w:pPr>
        <w:rPr>
          <w:rFonts w:ascii="Arial" w:eastAsia="Times New Roman" w:hAnsi="Arial" w:cs="Arial"/>
          <w:b/>
        </w:rPr>
      </w:pPr>
      <w:r w:rsidRPr="00EC45BD">
        <w:rPr>
          <w:rFonts w:ascii="Arial" w:eastAsia="Times New Roman" w:hAnsi="Arial" w:cs="Arial"/>
          <w:b/>
        </w:rPr>
        <w:t>The Workshop</w:t>
      </w:r>
    </w:p>
    <w:p w14:paraId="5F3416A0" w14:textId="77777777" w:rsidR="004E6F15" w:rsidRDefault="00E87B1E" w:rsidP="00E87B1E">
      <w:pPr>
        <w:rPr>
          <w:rFonts w:ascii="Arial" w:eastAsia="Times New Roman" w:hAnsi="Arial" w:cs="Arial"/>
          <w:szCs w:val="28"/>
        </w:rPr>
      </w:pPr>
      <w:r>
        <w:rPr>
          <w:rFonts w:ascii="Arial" w:eastAsia="Times New Roman" w:hAnsi="Arial" w:cs="Arial"/>
        </w:rPr>
        <w:t>To support this work a MetBioNet Workshop was organised to explore and discuss the provision of IMD monitoring on patient</w:t>
      </w:r>
      <w:r w:rsidR="0088004F">
        <w:rPr>
          <w:rFonts w:ascii="Arial" w:eastAsia="Times New Roman" w:hAnsi="Arial" w:cs="Arial"/>
        </w:rPr>
        <w:t>-</w:t>
      </w:r>
      <w:r>
        <w:rPr>
          <w:rFonts w:ascii="Arial" w:eastAsia="Times New Roman" w:hAnsi="Arial" w:cs="Arial"/>
        </w:rPr>
        <w:t>collected sample</w:t>
      </w:r>
      <w:r w:rsidR="0088004F">
        <w:rPr>
          <w:rFonts w:ascii="Arial" w:eastAsia="Times New Roman" w:hAnsi="Arial" w:cs="Arial"/>
        </w:rPr>
        <w:t>s</w:t>
      </w:r>
      <w:r>
        <w:rPr>
          <w:rFonts w:ascii="Arial" w:eastAsia="Times New Roman" w:hAnsi="Arial" w:cs="Arial"/>
        </w:rPr>
        <w:t xml:space="preserve">. A virtual workshop was held on </w:t>
      </w:r>
      <w:r w:rsidRPr="004E6F15">
        <w:rPr>
          <w:rFonts w:ascii="Arial" w:eastAsia="Times New Roman" w:hAnsi="Arial" w:cs="Arial"/>
          <w:szCs w:val="28"/>
        </w:rPr>
        <w:t>Wednesday August 26</w:t>
      </w:r>
      <w:r w:rsidRPr="004E6F15">
        <w:rPr>
          <w:rFonts w:ascii="Arial" w:eastAsia="Times New Roman" w:hAnsi="Arial" w:cs="Arial"/>
          <w:szCs w:val="28"/>
          <w:vertAlign w:val="superscript"/>
        </w:rPr>
        <w:t>th</w:t>
      </w:r>
      <w:r w:rsidRPr="004E6F15">
        <w:rPr>
          <w:rFonts w:ascii="Arial" w:eastAsia="Times New Roman" w:hAnsi="Arial" w:cs="Arial"/>
          <w:szCs w:val="28"/>
        </w:rPr>
        <w:t xml:space="preserve"> 2020</w:t>
      </w:r>
      <w:r>
        <w:rPr>
          <w:rFonts w:ascii="Arial" w:eastAsia="Times New Roman" w:hAnsi="Arial" w:cs="Arial"/>
          <w:szCs w:val="28"/>
        </w:rPr>
        <w:t xml:space="preserve">. </w:t>
      </w:r>
      <w:r w:rsidR="004E6F15" w:rsidRPr="004E6F15">
        <w:rPr>
          <w:rFonts w:ascii="Arial" w:eastAsia="Times New Roman" w:hAnsi="Arial" w:cs="Arial"/>
          <w:szCs w:val="28"/>
        </w:rPr>
        <w:t>Representatives from 14 MetBioNet lab</w:t>
      </w:r>
      <w:r w:rsidR="00FA4768">
        <w:rPr>
          <w:rFonts w:ascii="Arial" w:eastAsia="Times New Roman" w:hAnsi="Arial" w:cs="Arial"/>
          <w:szCs w:val="28"/>
        </w:rPr>
        <w:t xml:space="preserve">oratories </w:t>
      </w:r>
      <w:r>
        <w:rPr>
          <w:rFonts w:ascii="Arial" w:eastAsia="Times New Roman" w:hAnsi="Arial" w:cs="Arial"/>
          <w:szCs w:val="28"/>
        </w:rPr>
        <w:t>attended the workshop</w:t>
      </w:r>
      <w:r w:rsidR="00FA4768">
        <w:rPr>
          <w:rFonts w:ascii="Arial" w:eastAsia="Times New Roman" w:hAnsi="Arial" w:cs="Arial"/>
          <w:szCs w:val="28"/>
        </w:rPr>
        <w:t xml:space="preserve">. The programme </w:t>
      </w:r>
      <w:r w:rsidR="003A42B0">
        <w:rPr>
          <w:rFonts w:ascii="Arial" w:eastAsia="Times New Roman" w:hAnsi="Arial" w:cs="Arial"/>
          <w:szCs w:val="28"/>
        </w:rPr>
        <w:t>was as follows</w:t>
      </w:r>
      <w:r w:rsidR="00FA4768">
        <w:rPr>
          <w:rFonts w:ascii="Arial" w:eastAsia="Times New Roman" w:hAnsi="Arial" w:cs="Arial"/>
          <w:szCs w:val="28"/>
        </w:rPr>
        <w:t>:</w:t>
      </w:r>
    </w:p>
    <w:p w14:paraId="6C54DBC7" w14:textId="77777777" w:rsidR="000C6AD6" w:rsidRDefault="000C6AD6" w:rsidP="00E87B1E">
      <w:pPr>
        <w:rPr>
          <w:rFonts w:ascii="Arial" w:eastAsia="Times New Roman" w:hAnsi="Arial" w:cs="Arial"/>
          <w:szCs w:val="28"/>
        </w:rPr>
      </w:pPr>
    </w:p>
    <w:p w14:paraId="0E805177" w14:textId="77777777" w:rsidR="000C6AD6" w:rsidRDefault="000C6AD6" w:rsidP="00371D5B">
      <w:pPr>
        <w:ind w:firstLine="720"/>
        <w:rPr>
          <w:rFonts w:ascii="Arial" w:eastAsia="Times New Roman" w:hAnsi="Arial" w:cs="Arial"/>
          <w:szCs w:val="28"/>
        </w:rPr>
      </w:pPr>
    </w:p>
    <w:p w14:paraId="6BC1F28F" w14:textId="77777777" w:rsidR="00371D5B" w:rsidRPr="00192CC2" w:rsidRDefault="00FA4768" w:rsidP="00371D5B">
      <w:pPr>
        <w:ind w:firstLine="720"/>
        <w:rPr>
          <w:rFonts w:ascii="Arial" w:eastAsia="Times New Roman" w:hAnsi="Arial" w:cs="Arial"/>
        </w:rPr>
      </w:pPr>
      <w:r w:rsidRPr="00192CC2">
        <w:rPr>
          <w:rFonts w:ascii="Arial" w:eastAsia="Times New Roman" w:hAnsi="Arial" w:cs="Arial"/>
        </w:rPr>
        <w:t>Setting the scene</w:t>
      </w:r>
    </w:p>
    <w:p w14:paraId="0A8337DC" w14:textId="77777777" w:rsidR="00FA4768" w:rsidRPr="003A42B0" w:rsidRDefault="00FA4768" w:rsidP="00371D5B">
      <w:pPr>
        <w:ind w:firstLine="720"/>
        <w:rPr>
          <w:rFonts w:ascii="Arial" w:eastAsia="Times New Roman" w:hAnsi="Arial" w:cs="Arial"/>
          <w:b/>
          <w:i/>
        </w:rPr>
      </w:pPr>
      <w:r w:rsidRPr="003A42B0">
        <w:rPr>
          <w:rFonts w:ascii="Arial" w:eastAsia="Times New Roman" w:hAnsi="Arial" w:cs="Arial"/>
          <w:i/>
        </w:rPr>
        <w:t>Elaine Murphy</w:t>
      </w:r>
      <w:r w:rsidRPr="003A42B0">
        <w:rPr>
          <w:rFonts w:ascii="Arial" w:eastAsia="Times New Roman" w:hAnsi="Arial" w:cs="Arial"/>
          <w:i/>
          <w:color w:val="1F497D"/>
        </w:rPr>
        <w:t xml:space="preserve">, </w:t>
      </w:r>
      <w:r w:rsidRPr="003A42B0">
        <w:rPr>
          <w:rFonts w:ascii="Arial" w:eastAsia="Times New Roman" w:hAnsi="Arial" w:cs="Arial"/>
          <w:i/>
        </w:rPr>
        <w:t>National Hospital, Queen Square, London</w:t>
      </w:r>
    </w:p>
    <w:p w14:paraId="6702B994" w14:textId="77777777" w:rsidR="00FA4768" w:rsidRPr="003A42B0" w:rsidRDefault="00FA4768" w:rsidP="00FA4768">
      <w:pPr>
        <w:rPr>
          <w:rFonts w:ascii="Arial" w:eastAsia="Times New Roman" w:hAnsi="Arial" w:cs="Arial"/>
          <w:i/>
        </w:rPr>
      </w:pPr>
    </w:p>
    <w:p w14:paraId="6E96479E" w14:textId="77777777" w:rsidR="00371D5B" w:rsidRPr="00192CC2" w:rsidRDefault="00FA4768" w:rsidP="00371D5B">
      <w:pPr>
        <w:ind w:firstLine="720"/>
        <w:rPr>
          <w:rFonts w:ascii="Arial" w:eastAsia="Times New Roman" w:hAnsi="Arial" w:cs="Arial"/>
        </w:rPr>
      </w:pPr>
      <w:r w:rsidRPr="00192CC2">
        <w:rPr>
          <w:rFonts w:ascii="Arial" w:eastAsia="Times New Roman" w:hAnsi="Arial" w:cs="Arial"/>
        </w:rPr>
        <w:t>Results of the lab survey (current provision) &amp; Aims of the workshop</w:t>
      </w:r>
    </w:p>
    <w:p w14:paraId="164664F9" w14:textId="77777777" w:rsidR="00FA4768" w:rsidRPr="003A42B0" w:rsidRDefault="00FA4768" w:rsidP="00371D5B">
      <w:pPr>
        <w:ind w:firstLine="720"/>
        <w:rPr>
          <w:rFonts w:ascii="Arial" w:eastAsia="Times New Roman" w:hAnsi="Arial" w:cs="Arial"/>
          <w:b/>
          <w:i/>
        </w:rPr>
      </w:pPr>
      <w:r w:rsidRPr="003A42B0">
        <w:rPr>
          <w:rFonts w:ascii="Arial" w:eastAsia="Times New Roman" w:hAnsi="Arial" w:cs="Arial"/>
          <w:i/>
        </w:rPr>
        <w:t>Helena Kemp, Southmead Hospital, Bristol</w:t>
      </w:r>
    </w:p>
    <w:p w14:paraId="259C5F94" w14:textId="77777777" w:rsidR="00FA4768" w:rsidRPr="00FA4768" w:rsidRDefault="00FA4768" w:rsidP="00FA4768">
      <w:pPr>
        <w:rPr>
          <w:rFonts w:ascii="Arial" w:eastAsia="Times New Roman" w:hAnsi="Arial" w:cs="Arial"/>
        </w:rPr>
      </w:pPr>
    </w:p>
    <w:p w14:paraId="7B0B704D" w14:textId="77777777" w:rsidR="0083699D" w:rsidRDefault="00FA4768" w:rsidP="0083699D">
      <w:pPr>
        <w:ind w:left="1440" w:hanging="720"/>
        <w:rPr>
          <w:rFonts w:ascii="Arial" w:hAnsi="Arial" w:cs="Arial"/>
        </w:rPr>
      </w:pPr>
      <w:r w:rsidRPr="00192CC2">
        <w:rPr>
          <w:rFonts w:ascii="Arial" w:hAnsi="Arial" w:cs="Arial"/>
        </w:rPr>
        <w:t xml:space="preserve">The use of </w:t>
      </w:r>
      <w:r w:rsidR="0083699D">
        <w:rPr>
          <w:rFonts w:ascii="Arial" w:hAnsi="Arial" w:cs="Arial"/>
        </w:rPr>
        <w:t>dry blood spots (</w:t>
      </w:r>
      <w:r w:rsidRPr="00192CC2">
        <w:rPr>
          <w:rFonts w:ascii="Arial" w:hAnsi="Arial" w:cs="Arial"/>
        </w:rPr>
        <w:t>DBS</w:t>
      </w:r>
      <w:r w:rsidR="0083699D">
        <w:rPr>
          <w:rFonts w:ascii="Arial" w:hAnsi="Arial" w:cs="Arial"/>
        </w:rPr>
        <w:t>)</w:t>
      </w:r>
      <w:r w:rsidRPr="00192CC2">
        <w:rPr>
          <w:rFonts w:ascii="Arial" w:hAnsi="Arial" w:cs="Arial"/>
        </w:rPr>
        <w:t xml:space="preserve"> to monitor pat</w:t>
      </w:r>
      <w:r w:rsidR="0083699D">
        <w:rPr>
          <w:rFonts w:ascii="Arial" w:hAnsi="Arial" w:cs="Arial"/>
        </w:rPr>
        <w:t xml:space="preserve">ients with IMDs </w:t>
      </w:r>
    </w:p>
    <w:p w14:paraId="00E03B61" w14:textId="77777777" w:rsidR="00FA4768" w:rsidRPr="00192CC2" w:rsidRDefault="0083699D" w:rsidP="0083699D">
      <w:pPr>
        <w:ind w:left="1440" w:hanging="720"/>
        <w:rPr>
          <w:rFonts w:ascii="Arial" w:hAnsi="Arial" w:cs="Arial"/>
        </w:rPr>
      </w:pPr>
      <w:r>
        <w:rPr>
          <w:rFonts w:ascii="Arial" w:hAnsi="Arial" w:cs="Arial"/>
        </w:rPr>
        <w:t xml:space="preserve">– factors to be </w:t>
      </w:r>
      <w:r w:rsidR="00FA4768" w:rsidRPr="00192CC2">
        <w:rPr>
          <w:rFonts w:ascii="Arial" w:hAnsi="Arial" w:cs="Arial"/>
        </w:rPr>
        <w:t>considered</w:t>
      </w:r>
    </w:p>
    <w:p w14:paraId="3552A007" w14:textId="77777777" w:rsidR="00FA4768" w:rsidRPr="003A42B0" w:rsidRDefault="00FA4768" w:rsidP="00FA4768">
      <w:pPr>
        <w:ind w:firstLine="720"/>
        <w:rPr>
          <w:rFonts w:ascii="Arial" w:eastAsia="Times New Roman" w:hAnsi="Arial" w:cs="Arial"/>
          <w:i/>
        </w:rPr>
      </w:pPr>
      <w:r w:rsidRPr="003A42B0">
        <w:rPr>
          <w:rFonts w:ascii="Arial" w:eastAsia="Times New Roman" w:hAnsi="Arial" w:cs="Arial"/>
          <w:i/>
        </w:rPr>
        <w:t>Stuart Moat, University Hospital of Wales, Cardiff</w:t>
      </w:r>
    </w:p>
    <w:p w14:paraId="3DD1F154" w14:textId="77777777" w:rsidR="00FA4768" w:rsidRPr="00FA4768" w:rsidRDefault="00FA4768" w:rsidP="00FA4768">
      <w:pPr>
        <w:rPr>
          <w:rFonts w:ascii="Arial" w:hAnsi="Arial" w:cs="Arial"/>
          <w:b/>
          <w:color w:val="000000"/>
        </w:rPr>
      </w:pPr>
    </w:p>
    <w:p w14:paraId="3A23FF1E" w14:textId="77777777" w:rsidR="00FA4768" w:rsidRPr="00192CC2" w:rsidRDefault="00FA4768" w:rsidP="00FA4768">
      <w:pPr>
        <w:ind w:left="720"/>
        <w:rPr>
          <w:rFonts w:ascii="Arial" w:hAnsi="Arial" w:cs="Arial"/>
          <w:color w:val="000000"/>
        </w:rPr>
      </w:pPr>
      <w:r w:rsidRPr="00192CC2">
        <w:rPr>
          <w:rFonts w:ascii="Arial" w:hAnsi="Arial" w:cs="Arial"/>
          <w:color w:val="000000"/>
        </w:rPr>
        <w:t>Manchester experience of blood spot amino acid analysis - reference ranges, workflows, IQC/EQA, and reporting strategy including monitoring for homocystinuria</w:t>
      </w:r>
    </w:p>
    <w:p w14:paraId="11FEEABB" w14:textId="77777777" w:rsidR="00FA4768" w:rsidRPr="003A42B0" w:rsidRDefault="00FA4768" w:rsidP="00FA4768">
      <w:pPr>
        <w:ind w:firstLine="720"/>
        <w:rPr>
          <w:rFonts w:ascii="Arial" w:hAnsi="Arial" w:cs="Arial"/>
          <w:i/>
          <w:lang w:eastAsia="en-GB"/>
        </w:rPr>
      </w:pPr>
      <w:r w:rsidRPr="003A42B0">
        <w:rPr>
          <w:rFonts w:ascii="Arial" w:hAnsi="Arial" w:cs="Arial"/>
          <w:i/>
          <w:color w:val="000000"/>
        </w:rPr>
        <w:t xml:space="preserve">Alistair Horman, </w:t>
      </w:r>
      <w:r w:rsidRPr="003A42B0">
        <w:rPr>
          <w:rFonts w:ascii="Arial" w:hAnsi="Arial" w:cs="Arial"/>
          <w:i/>
          <w:lang w:eastAsia="en-GB"/>
        </w:rPr>
        <w:t>Willink Biochemical Genetics Laboratory, Manchester</w:t>
      </w:r>
    </w:p>
    <w:p w14:paraId="7B7FD0B0" w14:textId="77777777" w:rsidR="00FA4768" w:rsidRDefault="00FA4768" w:rsidP="00FA4768">
      <w:pPr>
        <w:rPr>
          <w:rFonts w:ascii="Arial" w:hAnsi="Arial" w:cs="Arial"/>
          <w:lang w:eastAsia="en-GB"/>
        </w:rPr>
      </w:pPr>
    </w:p>
    <w:p w14:paraId="7175D816" w14:textId="77777777" w:rsidR="00FA4768" w:rsidRPr="00192CC2" w:rsidRDefault="00FA4768" w:rsidP="00FA4768">
      <w:pPr>
        <w:ind w:left="720"/>
        <w:rPr>
          <w:rFonts w:ascii="Arial" w:hAnsi="Arial" w:cs="Arial"/>
        </w:rPr>
      </w:pPr>
      <w:r w:rsidRPr="00192CC2">
        <w:rPr>
          <w:rFonts w:ascii="Arial" w:hAnsi="Arial" w:cs="Arial"/>
          <w:lang w:eastAsia="en-GB"/>
        </w:rPr>
        <w:t>Other considerations (including sample collection devices, results of the ERNDIM EQA scheme)</w:t>
      </w:r>
    </w:p>
    <w:p w14:paraId="50EFB06A" w14:textId="77777777" w:rsidR="00FA4768" w:rsidRPr="003A42B0" w:rsidRDefault="00FA4768" w:rsidP="00FA4768">
      <w:pPr>
        <w:ind w:left="720"/>
        <w:rPr>
          <w:rFonts w:ascii="Arial" w:eastAsia="Times New Roman" w:hAnsi="Arial" w:cs="Arial"/>
          <w:i/>
        </w:rPr>
      </w:pPr>
      <w:r w:rsidRPr="003A42B0">
        <w:rPr>
          <w:rFonts w:ascii="Arial" w:eastAsia="Times New Roman" w:hAnsi="Arial" w:cs="Arial"/>
          <w:i/>
        </w:rPr>
        <w:t>Rachel Carling, Viapath, St Thomas’ Hospital London</w:t>
      </w:r>
    </w:p>
    <w:p w14:paraId="164FA60E" w14:textId="77777777" w:rsidR="00EC45BD" w:rsidRDefault="00EC45BD" w:rsidP="00FA4768">
      <w:pPr>
        <w:ind w:left="720"/>
        <w:rPr>
          <w:rFonts w:ascii="Arial" w:eastAsia="Times New Roman" w:hAnsi="Arial" w:cs="Arial"/>
        </w:rPr>
      </w:pPr>
    </w:p>
    <w:p w14:paraId="08A22EDF" w14:textId="77777777" w:rsidR="00EC45BD" w:rsidRPr="00192CC2" w:rsidRDefault="00EC45BD" w:rsidP="00FA4768">
      <w:pPr>
        <w:ind w:left="720"/>
        <w:rPr>
          <w:rFonts w:ascii="Arial" w:eastAsia="Times New Roman" w:hAnsi="Arial" w:cs="Arial"/>
        </w:rPr>
      </w:pPr>
      <w:r w:rsidRPr="00192CC2">
        <w:rPr>
          <w:rFonts w:ascii="Arial" w:eastAsia="Times New Roman" w:hAnsi="Arial" w:cs="Arial"/>
        </w:rPr>
        <w:t>Discussion and next steps</w:t>
      </w:r>
    </w:p>
    <w:p w14:paraId="50ECD4F0" w14:textId="77777777" w:rsidR="000C6AD6" w:rsidRPr="00EC45BD" w:rsidRDefault="000C6AD6" w:rsidP="00FA4768">
      <w:pPr>
        <w:ind w:left="720"/>
        <w:rPr>
          <w:rFonts w:ascii="Arial" w:eastAsia="Times New Roman" w:hAnsi="Arial" w:cs="Arial"/>
          <w:b/>
        </w:rPr>
      </w:pPr>
    </w:p>
    <w:p w14:paraId="28B1D04F" w14:textId="77777777" w:rsidR="00FA4768" w:rsidRDefault="00FA4768" w:rsidP="00E87B1E">
      <w:pPr>
        <w:rPr>
          <w:rFonts w:ascii="Arial" w:eastAsia="Times New Roman" w:hAnsi="Arial" w:cs="Arial"/>
        </w:rPr>
      </w:pPr>
    </w:p>
    <w:p w14:paraId="4891275D" w14:textId="77777777" w:rsidR="00FA4768" w:rsidRPr="00FA4768" w:rsidRDefault="000C6AD6" w:rsidP="00E87B1E">
      <w:pPr>
        <w:rPr>
          <w:rFonts w:ascii="Arial" w:eastAsia="Times New Roman" w:hAnsi="Arial" w:cs="Arial"/>
        </w:rPr>
      </w:pPr>
      <w:r>
        <w:rPr>
          <w:rFonts w:ascii="Arial" w:eastAsia="Times New Roman" w:hAnsi="Arial" w:cs="Arial"/>
        </w:rPr>
        <w:t xml:space="preserve">Copies of the </w:t>
      </w:r>
      <w:r w:rsidR="00FA4768">
        <w:rPr>
          <w:rFonts w:ascii="Arial" w:eastAsia="Times New Roman" w:hAnsi="Arial" w:cs="Arial"/>
        </w:rPr>
        <w:t>presentat</w:t>
      </w:r>
      <w:r w:rsidR="0083699D">
        <w:rPr>
          <w:rFonts w:ascii="Arial" w:eastAsia="Times New Roman" w:hAnsi="Arial" w:cs="Arial"/>
        </w:rPr>
        <w:t>ions will be</w:t>
      </w:r>
      <w:r w:rsidR="00FA4768">
        <w:rPr>
          <w:rFonts w:ascii="Arial" w:eastAsia="Times New Roman" w:hAnsi="Arial" w:cs="Arial"/>
        </w:rPr>
        <w:t xml:space="preserve"> circulated with this report.</w:t>
      </w:r>
    </w:p>
    <w:p w14:paraId="039FEB43" w14:textId="77777777" w:rsidR="00B63C00" w:rsidRDefault="00B63C00" w:rsidP="004E6F15">
      <w:pPr>
        <w:spacing w:after="120"/>
        <w:jc w:val="both"/>
        <w:rPr>
          <w:rFonts w:ascii="Arial" w:eastAsia="Times New Roman" w:hAnsi="Arial" w:cs="Arial"/>
          <w:b/>
          <w:szCs w:val="28"/>
        </w:rPr>
      </w:pPr>
    </w:p>
    <w:p w14:paraId="29111FF7" w14:textId="77777777" w:rsidR="00313013" w:rsidRDefault="00313013" w:rsidP="00192CC2">
      <w:pPr>
        <w:jc w:val="both"/>
        <w:rPr>
          <w:rFonts w:ascii="Arial" w:eastAsia="Times New Roman" w:hAnsi="Arial" w:cs="Arial"/>
          <w:b/>
          <w:szCs w:val="28"/>
        </w:rPr>
      </w:pPr>
    </w:p>
    <w:p w14:paraId="11040A2B" w14:textId="77777777" w:rsidR="00313013" w:rsidRDefault="00313013" w:rsidP="00192CC2">
      <w:pPr>
        <w:jc w:val="both"/>
        <w:rPr>
          <w:rFonts w:ascii="Arial" w:eastAsia="Times New Roman" w:hAnsi="Arial" w:cs="Arial"/>
          <w:b/>
          <w:szCs w:val="28"/>
        </w:rPr>
      </w:pPr>
    </w:p>
    <w:p w14:paraId="6306D961" w14:textId="77777777" w:rsidR="00313013" w:rsidRDefault="00313013" w:rsidP="00192CC2">
      <w:pPr>
        <w:jc w:val="both"/>
        <w:rPr>
          <w:rFonts w:ascii="Arial" w:eastAsia="Times New Roman" w:hAnsi="Arial" w:cs="Arial"/>
          <w:b/>
          <w:szCs w:val="28"/>
        </w:rPr>
      </w:pPr>
    </w:p>
    <w:p w14:paraId="18CE3C33" w14:textId="77777777" w:rsidR="00313013" w:rsidRDefault="00313013" w:rsidP="00192CC2">
      <w:pPr>
        <w:jc w:val="both"/>
        <w:rPr>
          <w:rFonts w:ascii="Arial" w:eastAsia="Times New Roman" w:hAnsi="Arial" w:cs="Arial"/>
          <w:b/>
          <w:szCs w:val="28"/>
        </w:rPr>
      </w:pPr>
    </w:p>
    <w:p w14:paraId="3AE841D3" w14:textId="77777777" w:rsidR="00313013" w:rsidRDefault="00313013" w:rsidP="00192CC2">
      <w:pPr>
        <w:jc w:val="both"/>
        <w:rPr>
          <w:rFonts w:ascii="Arial" w:eastAsia="Times New Roman" w:hAnsi="Arial" w:cs="Arial"/>
          <w:b/>
          <w:szCs w:val="28"/>
        </w:rPr>
      </w:pPr>
    </w:p>
    <w:p w14:paraId="7B32188F" w14:textId="77777777" w:rsidR="002D2002" w:rsidRDefault="002D2002" w:rsidP="00192CC2">
      <w:pPr>
        <w:jc w:val="both"/>
        <w:rPr>
          <w:rFonts w:ascii="Arial" w:eastAsia="Times New Roman" w:hAnsi="Arial" w:cs="Arial"/>
          <w:b/>
          <w:szCs w:val="28"/>
        </w:rPr>
      </w:pPr>
      <w:r>
        <w:rPr>
          <w:rFonts w:ascii="Arial" w:eastAsia="Times New Roman" w:hAnsi="Arial" w:cs="Arial"/>
          <w:b/>
          <w:szCs w:val="28"/>
        </w:rPr>
        <w:lastRenderedPageBreak/>
        <w:t xml:space="preserve">Results of </w:t>
      </w:r>
      <w:r w:rsidR="000C6AD6">
        <w:rPr>
          <w:rFonts w:ascii="Arial" w:eastAsia="Times New Roman" w:hAnsi="Arial" w:cs="Arial"/>
          <w:b/>
          <w:szCs w:val="28"/>
        </w:rPr>
        <w:t xml:space="preserve">the </w:t>
      </w:r>
      <w:r>
        <w:rPr>
          <w:rFonts w:ascii="Arial" w:eastAsia="Times New Roman" w:hAnsi="Arial" w:cs="Arial"/>
          <w:b/>
          <w:szCs w:val="28"/>
        </w:rPr>
        <w:t xml:space="preserve">MetBioNet </w:t>
      </w:r>
      <w:r w:rsidR="000C6AD6">
        <w:rPr>
          <w:rFonts w:ascii="Arial" w:eastAsia="Times New Roman" w:hAnsi="Arial" w:cs="Arial"/>
          <w:b/>
          <w:szCs w:val="28"/>
        </w:rPr>
        <w:t xml:space="preserve">Laboratory </w:t>
      </w:r>
      <w:r>
        <w:rPr>
          <w:rFonts w:ascii="Arial" w:eastAsia="Times New Roman" w:hAnsi="Arial" w:cs="Arial"/>
          <w:b/>
          <w:szCs w:val="28"/>
        </w:rPr>
        <w:t>survey</w:t>
      </w:r>
      <w:r w:rsidRPr="002D2002">
        <w:rPr>
          <w:rFonts w:ascii="Arial" w:eastAsia="Times New Roman" w:hAnsi="Arial" w:cs="Arial"/>
          <w:b/>
          <w:szCs w:val="28"/>
        </w:rPr>
        <w:t xml:space="preserve"> </w:t>
      </w:r>
    </w:p>
    <w:p w14:paraId="4BE52F24" w14:textId="77777777" w:rsidR="00192CC2" w:rsidRDefault="00192CC2" w:rsidP="00192CC2">
      <w:pPr>
        <w:jc w:val="both"/>
        <w:rPr>
          <w:rFonts w:ascii="Arial" w:eastAsia="Times New Roman" w:hAnsi="Arial" w:cs="Arial"/>
          <w:i/>
          <w:szCs w:val="28"/>
        </w:rPr>
      </w:pPr>
    </w:p>
    <w:p w14:paraId="324E6866" w14:textId="77777777" w:rsidR="006B7899" w:rsidRDefault="003A42B0" w:rsidP="006B7899">
      <w:pPr>
        <w:pStyle w:val="ListParagraph"/>
        <w:numPr>
          <w:ilvl w:val="0"/>
          <w:numId w:val="20"/>
        </w:numPr>
        <w:spacing w:after="120"/>
        <w:jc w:val="both"/>
        <w:rPr>
          <w:rFonts w:ascii="Arial" w:eastAsia="Times New Roman" w:hAnsi="Arial" w:cs="Arial"/>
          <w:szCs w:val="28"/>
        </w:rPr>
      </w:pPr>
      <w:r w:rsidRPr="006B7899">
        <w:rPr>
          <w:rFonts w:ascii="Arial" w:eastAsia="Times New Roman" w:hAnsi="Arial" w:cs="Arial"/>
          <w:szCs w:val="28"/>
        </w:rPr>
        <w:t xml:space="preserve">Responses were received from 15 </w:t>
      </w:r>
      <w:r>
        <w:rPr>
          <w:rFonts w:ascii="Arial" w:eastAsia="Times New Roman" w:hAnsi="Arial" w:cs="Arial"/>
          <w:szCs w:val="28"/>
        </w:rPr>
        <w:t xml:space="preserve">MetBioNet Stakeholder </w:t>
      </w:r>
      <w:r w:rsidRPr="006B7899">
        <w:rPr>
          <w:rFonts w:ascii="Arial" w:eastAsia="Times New Roman" w:hAnsi="Arial" w:cs="Arial"/>
          <w:szCs w:val="28"/>
        </w:rPr>
        <w:t>labs</w:t>
      </w:r>
      <w:r>
        <w:rPr>
          <w:rFonts w:ascii="Arial" w:eastAsia="Times New Roman" w:hAnsi="Arial" w:cs="Arial"/>
          <w:szCs w:val="28"/>
        </w:rPr>
        <w:t>.</w:t>
      </w:r>
      <w:r w:rsidRPr="006B7899">
        <w:rPr>
          <w:rFonts w:ascii="Arial" w:eastAsia="Times New Roman" w:hAnsi="Arial" w:cs="Arial"/>
          <w:szCs w:val="28"/>
        </w:rPr>
        <w:t xml:space="preserve"> </w:t>
      </w:r>
      <w:r>
        <w:rPr>
          <w:rFonts w:ascii="Arial" w:eastAsia="Times New Roman" w:hAnsi="Arial" w:cs="Arial"/>
          <w:szCs w:val="28"/>
        </w:rPr>
        <w:t>T</w:t>
      </w:r>
      <w:r w:rsidR="000C6AD6">
        <w:rPr>
          <w:rFonts w:ascii="Arial" w:eastAsia="Times New Roman" w:hAnsi="Arial" w:cs="Arial"/>
          <w:szCs w:val="28"/>
        </w:rPr>
        <w:t xml:space="preserve">he survey </w:t>
      </w:r>
      <w:r w:rsidR="00EC45BD" w:rsidRPr="006B7899">
        <w:rPr>
          <w:rFonts w:ascii="Arial" w:eastAsia="Times New Roman" w:hAnsi="Arial" w:cs="Arial"/>
          <w:szCs w:val="28"/>
        </w:rPr>
        <w:t>results</w:t>
      </w:r>
      <w:r w:rsidR="0083699D">
        <w:rPr>
          <w:rFonts w:ascii="Arial" w:eastAsia="Times New Roman" w:hAnsi="Arial" w:cs="Arial"/>
          <w:szCs w:val="28"/>
        </w:rPr>
        <w:t>,</w:t>
      </w:r>
      <w:r w:rsidR="00EC45BD" w:rsidRPr="006B7899">
        <w:rPr>
          <w:rFonts w:ascii="Arial" w:eastAsia="Times New Roman" w:hAnsi="Arial" w:cs="Arial"/>
          <w:szCs w:val="28"/>
        </w:rPr>
        <w:t xml:space="preserve"> </w:t>
      </w:r>
      <w:r>
        <w:rPr>
          <w:rFonts w:ascii="Arial" w:eastAsia="Times New Roman" w:hAnsi="Arial" w:cs="Arial"/>
          <w:szCs w:val="28"/>
        </w:rPr>
        <w:t>outlining</w:t>
      </w:r>
      <w:r w:rsidR="00371D5B" w:rsidRPr="006B7899">
        <w:rPr>
          <w:rFonts w:ascii="Arial" w:eastAsia="Times New Roman" w:hAnsi="Arial" w:cs="Arial"/>
          <w:szCs w:val="28"/>
        </w:rPr>
        <w:t xml:space="preserve"> the current provision of testing </w:t>
      </w:r>
      <w:r w:rsidR="000C6AD6">
        <w:rPr>
          <w:rFonts w:ascii="Arial" w:eastAsia="Times New Roman" w:hAnsi="Arial" w:cs="Arial"/>
          <w:szCs w:val="28"/>
        </w:rPr>
        <w:t xml:space="preserve">on </w:t>
      </w:r>
      <w:r w:rsidR="00371D5B" w:rsidRPr="006B7899">
        <w:rPr>
          <w:rFonts w:ascii="Arial" w:eastAsia="Times New Roman" w:hAnsi="Arial" w:cs="Arial"/>
          <w:szCs w:val="28"/>
        </w:rPr>
        <w:t>patient</w:t>
      </w:r>
      <w:r w:rsidR="0088004F">
        <w:rPr>
          <w:rFonts w:ascii="Arial" w:eastAsia="Times New Roman" w:hAnsi="Arial" w:cs="Arial"/>
          <w:szCs w:val="28"/>
        </w:rPr>
        <w:t>-</w:t>
      </w:r>
      <w:r w:rsidR="00371D5B" w:rsidRPr="006B7899">
        <w:rPr>
          <w:rFonts w:ascii="Arial" w:eastAsia="Times New Roman" w:hAnsi="Arial" w:cs="Arial"/>
          <w:szCs w:val="28"/>
        </w:rPr>
        <w:t>collected samples</w:t>
      </w:r>
      <w:r w:rsidR="0083699D">
        <w:rPr>
          <w:rFonts w:ascii="Arial" w:eastAsia="Times New Roman" w:hAnsi="Arial" w:cs="Arial"/>
          <w:szCs w:val="28"/>
        </w:rPr>
        <w:t>,</w:t>
      </w:r>
      <w:r w:rsidR="00371D5B" w:rsidRPr="006B7899">
        <w:rPr>
          <w:rFonts w:ascii="Arial" w:eastAsia="Times New Roman" w:hAnsi="Arial" w:cs="Arial"/>
          <w:szCs w:val="28"/>
        </w:rPr>
        <w:t xml:space="preserve"> </w:t>
      </w:r>
      <w:r w:rsidR="00FD5BD6">
        <w:rPr>
          <w:rFonts w:ascii="Arial" w:eastAsia="Times New Roman" w:hAnsi="Arial" w:cs="Arial"/>
          <w:szCs w:val="28"/>
        </w:rPr>
        <w:t>are</w:t>
      </w:r>
      <w:r>
        <w:rPr>
          <w:rFonts w:ascii="Arial" w:eastAsia="Times New Roman" w:hAnsi="Arial" w:cs="Arial"/>
          <w:szCs w:val="28"/>
        </w:rPr>
        <w:t xml:space="preserve"> summarised </w:t>
      </w:r>
      <w:r w:rsidR="007B7E58" w:rsidRPr="006B7899">
        <w:rPr>
          <w:rFonts w:ascii="Arial" w:eastAsia="Times New Roman" w:hAnsi="Arial" w:cs="Arial"/>
          <w:szCs w:val="28"/>
        </w:rPr>
        <w:t>below.</w:t>
      </w:r>
      <w:r w:rsidR="00EC45BD" w:rsidRPr="006B7899">
        <w:rPr>
          <w:rFonts w:ascii="Arial" w:eastAsia="Times New Roman" w:hAnsi="Arial" w:cs="Arial"/>
          <w:szCs w:val="28"/>
        </w:rPr>
        <w:t xml:space="preserve"> </w:t>
      </w:r>
    </w:p>
    <w:p w14:paraId="0507CF40" w14:textId="77777777" w:rsidR="006B7899" w:rsidRDefault="006B7899" w:rsidP="006B7899">
      <w:pPr>
        <w:pStyle w:val="ListParagraph"/>
        <w:spacing w:after="120"/>
        <w:jc w:val="both"/>
        <w:rPr>
          <w:rFonts w:ascii="Arial" w:eastAsia="Times New Roman" w:hAnsi="Arial" w:cs="Arial"/>
          <w:szCs w:val="28"/>
        </w:rPr>
      </w:pPr>
    </w:p>
    <w:tbl>
      <w:tblPr>
        <w:tblStyle w:val="TableGrid"/>
        <w:tblW w:w="0" w:type="auto"/>
        <w:tblLook w:val="04A0" w:firstRow="1" w:lastRow="0" w:firstColumn="1" w:lastColumn="0" w:noHBand="0" w:noVBand="1"/>
      </w:tblPr>
      <w:tblGrid>
        <w:gridCol w:w="1668"/>
        <w:gridCol w:w="850"/>
        <w:gridCol w:w="1418"/>
        <w:gridCol w:w="1559"/>
        <w:gridCol w:w="1510"/>
        <w:gridCol w:w="2261"/>
      </w:tblGrid>
      <w:tr w:rsidR="006B7899" w:rsidRPr="007B7E58" w14:paraId="34830F9D" w14:textId="77777777" w:rsidTr="00850795">
        <w:tc>
          <w:tcPr>
            <w:tcW w:w="1668" w:type="dxa"/>
          </w:tcPr>
          <w:p w14:paraId="17A67496" w14:textId="77777777" w:rsidR="006B7899" w:rsidRPr="007B7E58" w:rsidRDefault="006B7899" w:rsidP="00374F00">
            <w:pPr>
              <w:rPr>
                <w:rFonts w:asciiTheme="minorHAnsi" w:hAnsiTheme="minorHAnsi" w:cstheme="minorBidi"/>
                <w:b/>
              </w:rPr>
            </w:pPr>
            <w:r w:rsidRPr="007B7E58">
              <w:rPr>
                <w:rFonts w:asciiTheme="minorHAnsi" w:hAnsiTheme="minorHAnsi" w:cstheme="minorBidi"/>
                <w:b/>
              </w:rPr>
              <w:t>Test</w:t>
            </w:r>
          </w:p>
          <w:p w14:paraId="67D36A05" w14:textId="77777777" w:rsidR="006B7899" w:rsidRPr="007B7E58" w:rsidRDefault="006B7899" w:rsidP="00374F00">
            <w:pPr>
              <w:rPr>
                <w:rFonts w:asciiTheme="minorHAnsi" w:hAnsiTheme="minorHAnsi" w:cstheme="minorBidi"/>
                <w:b/>
              </w:rPr>
            </w:pPr>
          </w:p>
        </w:tc>
        <w:tc>
          <w:tcPr>
            <w:tcW w:w="2268" w:type="dxa"/>
            <w:gridSpan w:val="2"/>
          </w:tcPr>
          <w:p w14:paraId="34971F41" w14:textId="77777777" w:rsidR="006B7899" w:rsidRPr="007B7E58" w:rsidRDefault="006B7899" w:rsidP="00374F00">
            <w:pPr>
              <w:rPr>
                <w:rFonts w:asciiTheme="minorHAnsi" w:hAnsiTheme="minorHAnsi" w:cstheme="minorBidi"/>
                <w:b/>
              </w:rPr>
            </w:pPr>
            <w:r w:rsidRPr="007B7E58">
              <w:rPr>
                <w:rFonts w:asciiTheme="minorHAnsi" w:hAnsiTheme="minorHAnsi" w:cstheme="minorBidi"/>
                <w:b/>
              </w:rPr>
              <w:t xml:space="preserve">No of labs </w:t>
            </w:r>
          </w:p>
        </w:tc>
        <w:tc>
          <w:tcPr>
            <w:tcW w:w="3069" w:type="dxa"/>
            <w:gridSpan w:val="2"/>
          </w:tcPr>
          <w:p w14:paraId="2496C77F" w14:textId="77777777" w:rsidR="006B7899" w:rsidRPr="007B7E58" w:rsidRDefault="006B7899" w:rsidP="00374F00">
            <w:pPr>
              <w:rPr>
                <w:rFonts w:asciiTheme="minorHAnsi" w:hAnsiTheme="minorHAnsi" w:cstheme="minorBidi"/>
                <w:b/>
              </w:rPr>
            </w:pPr>
            <w:r>
              <w:rPr>
                <w:rFonts w:asciiTheme="minorHAnsi" w:hAnsiTheme="minorHAnsi" w:cstheme="minorBidi"/>
                <w:b/>
              </w:rPr>
              <w:t>Analytical platform</w:t>
            </w:r>
          </w:p>
        </w:tc>
        <w:tc>
          <w:tcPr>
            <w:tcW w:w="2261" w:type="dxa"/>
          </w:tcPr>
          <w:p w14:paraId="47702688" w14:textId="77777777" w:rsidR="006B7899" w:rsidRPr="007B7E58" w:rsidRDefault="006B7899" w:rsidP="00374F00">
            <w:pPr>
              <w:rPr>
                <w:rFonts w:asciiTheme="minorHAnsi" w:hAnsiTheme="minorHAnsi" w:cstheme="minorBidi"/>
                <w:b/>
              </w:rPr>
            </w:pPr>
            <w:r w:rsidRPr="007B7E58">
              <w:rPr>
                <w:rFonts w:asciiTheme="minorHAnsi" w:hAnsiTheme="minorHAnsi" w:cstheme="minorBidi"/>
                <w:b/>
              </w:rPr>
              <w:t xml:space="preserve">Disorders monitored </w:t>
            </w:r>
          </w:p>
        </w:tc>
      </w:tr>
      <w:tr w:rsidR="006B7899" w:rsidRPr="007B7E58" w14:paraId="3B3ECB0A" w14:textId="77777777" w:rsidTr="008B54CB">
        <w:tc>
          <w:tcPr>
            <w:tcW w:w="1668" w:type="dxa"/>
          </w:tcPr>
          <w:p w14:paraId="22FADC91" w14:textId="77777777" w:rsidR="006B7899" w:rsidRPr="007B7E58" w:rsidRDefault="006B7899" w:rsidP="00374F00">
            <w:pPr>
              <w:rPr>
                <w:rFonts w:asciiTheme="minorHAnsi" w:hAnsiTheme="minorHAnsi" w:cstheme="minorBidi"/>
              </w:rPr>
            </w:pPr>
          </w:p>
        </w:tc>
        <w:tc>
          <w:tcPr>
            <w:tcW w:w="850" w:type="dxa"/>
          </w:tcPr>
          <w:p w14:paraId="0CEC7B0C" w14:textId="77777777" w:rsidR="006B7899" w:rsidRPr="007B7E58" w:rsidRDefault="0083699D" w:rsidP="00374F00">
            <w:pPr>
              <w:rPr>
                <w:rFonts w:asciiTheme="minorHAnsi" w:hAnsiTheme="minorHAnsi" w:cstheme="minorBidi"/>
              </w:rPr>
            </w:pPr>
            <w:r>
              <w:rPr>
                <w:rFonts w:asciiTheme="minorHAnsi" w:hAnsiTheme="minorHAnsi" w:cstheme="minorBidi"/>
              </w:rPr>
              <w:t>DBS</w:t>
            </w:r>
          </w:p>
        </w:tc>
        <w:tc>
          <w:tcPr>
            <w:tcW w:w="1418" w:type="dxa"/>
          </w:tcPr>
          <w:p w14:paraId="67394310" w14:textId="77777777" w:rsidR="006B7899" w:rsidRPr="007B7E58" w:rsidRDefault="0088004F" w:rsidP="00374F00">
            <w:pPr>
              <w:rPr>
                <w:rFonts w:asciiTheme="minorHAnsi" w:hAnsiTheme="minorHAnsi" w:cstheme="minorBidi"/>
              </w:rPr>
            </w:pPr>
            <w:r>
              <w:rPr>
                <w:rFonts w:asciiTheme="minorHAnsi" w:hAnsiTheme="minorHAnsi" w:cstheme="minorBidi"/>
              </w:rPr>
              <w:t>Finger</w:t>
            </w:r>
            <w:r w:rsidR="008B54CB">
              <w:rPr>
                <w:rFonts w:asciiTheme="minorHAnsi" w:hAnsiTheme="minorHAnsi" w:cstheme="minorBidi"/>
              </w:rPr>
              <w:t>-</w:t>
            </w:r>
            <w:r>
              <w:rPr>
                <w:rFonts w:asciiTheme="minorHAnsi" w:hAnsiTheme="minorHAnsi" w:cstheme="minorBidi"/>
              </w:rPr>
              <w:t>prick capillary blood</w:t>
            </w:r>
          </w:p>
        </w:tc>
        <w:tc>
          <w:tcPr>
            <w:tcW w:w="1559" w:type="dxa"/>
          </w:tcPr>
          <w:p w14:paraId="1ACEB680" w14:textId="77777777" w:rsidR="006B7899" w:rsidRPr="007B7E58" w:rsidRDefault="0083699D" w:rsidP="00374F00">
            <w:pPr>
              <w:rPr>
                <w:rFonts w:asciiTheme="minorHAnsi" w:hAnsiTheme="minorHAnsi" w:cstheme="minorBidi"/>
              </w:rPr>
            </w:pPr>
            <w:r>
              <w:rPr>
                <w:rFonts w:asciiTheme="minorHAnsi" w:hAnsiTheme="minorHAnsi" w:cstheme="minorBidi"/>
              </w:rPr>
              <w:t>DBS</w:t>
            </w:r>
          </w:p>
        </w:tc>
        <w:tc>
          <w:tcPr>
            <w:tcW w:w="1510" w:type="dxa"/>
          </w:tcPr>
          <w:p w14:paraId="073BFF61" w14:textId="77777777" w:rsidR="006B7899" w:rsidRPr="007B7E58" w:rsidRDefault="0088004F" w:rsidP="00374F00">
            <w:pPr>
              <w:rPr>
                <w:rFonts w:asciiTheme="minorHAnsi" w:hAnsiTheme="minorHAnsi" w:cstheme="minorBidi"/>
              </w:rPr>
            </w:pPr>
            <w:r>
              <w:rPr>
                <w:rFonts w:asciiTheme="minorHAnsi" w:hAnsiTheme="minorHAnsi" w:cstheme="minorBidi"/>
              </w:rPr>
              <w:t xml:space="preserve">Finger-prick capillary blood </w:t>
            </w:r>
          </w:p>
        </w:tc>
        <w:tc>
          <w:tcPr>
            <w:tcW w:w="2261" w:type="dxa"/>
          </w:tcPr>
          <w:p w14:paraId="23C0EC87" w14:textId="77777777" w:rsidR="006B7899" w:rsidRPr="007B7E58" w:rsidRDefault="006B7899" w:rsidP="00374F00">
            <w:pPr>
              <w:rPr>
                <w:rFonts w:asciiTheme="minorHAnsi" w:hAnsiTheme="minorHAnsi" w:cstheme="minorBidi"/>
              </w:rPr>
            </w:pPr>
          </w:p>
        </w:tc>
      </w:tr>
      <w:tr w:rsidR="006B7899" w:rsidRPr="007B7E58" w14:paraId="77BB7B1F" w14:textId="77777777" w:rsidTr="008B54CB">
        <w:tc>
          <w:tcPr>
            <w:tcW w:w="1668" w:type="dxa"/>
          </w:tcPr>
          <w:p w14:paraId="730009DC" w14:textId="77777777" w:rsidR="006B7899" w:rsidRPr="007B7E58" w:rsidRDefault="006B7899" w:rsidP="00374F00">
            <w:pPr>
              <w:rPr>
                <w:rFonts w:asciiTheme="minorHAnsi" w:hAnsiTheme="minorHAnsi" w:cstheme="minorBidi"/>
              </w:rPr>
            </w:pPr>
            <w:r w:rsidRPr="007B7E58">
              <w:rPr>
                <w:rFonts w:asciiTheme="minorHAnsi" w:hAnsiTheme="minorHAnsi" w:cstheme="minorBidi"/>
              </w:rPr>
              <w:t>Phenylalanine</w:t>
            </w:r>
          </w:p>
        </w:tc>
        <w:tc>
          <w:tcPr>
            <w:tcW w:w="850" w:type="dxa"/>
          </w:tcPr>
          <w:p w14:paraId="638724D8" w14:textId="77777777" w:rsidR="006B7899" w:rsidRPr="007B7E58" w:rsidRDefault="006B7899" w:rsidP="00374F00">
            <w:pPr>
              <w:rPr>
                <w:rFonts w:asciiTheme="minorHAnsi" w:hAnsiTheme="minorHAnsi" w:cstheme="minorBidi"/>
              </w:rPr>
            </w:pPr>
            <w:r w:rsidRPr="007B7E58">
              <w:rPr>
                <w:rFonts w:asciiTheme="minorHAnsi" w:hAnsiTheme="minorHAnsi" w:cstheme="minorBidi"/>
              </w:rPr>
              <w:t>13</w:t>
            </w:r>
          </w:p>
        </w:tc>
        <w:tc>
          <w:tcPr>
            <w:tcW w:w="1418" w:type="dxa"/>
          </w:tcPr>
          <w:p w14:paraId="529D7046" w14:textId="77777777" w:rsidR="006B7899" w:rsidRPr="007B7E58" w:rsidRDefault="006B7899" w:rsidP="00374F00">
            <w:pPr>
              <w:rPr>
                <w:rFonts w:asciiTheme="minorHAnsi" w:hAnsiTheme="minorHAnsi" w:cstheme="minorBidi"/>
              </w:rPr>
            </w:pPr>
            <w:r w:rsidRPr="007B7E58">
              <w:rPr>
                <w:rFonts w:asciiTheme="minorHAnsi" w:hAnsiTheme="minorHAnsi" w:cstheme="minorBidi"/>
              </w:rPr>
              <w:t>2</w:t>
            </w:r>
          </w:p>
        </w:tc>
        <w:tc>
          <w:tcPr>
            <w:tcW w:w="1559" w:type="dxa"/>
          </w:tcPr>
          <w:p w14:paraId="7CE9064B" w14:textId="77777777" w:rsidR="006B7899" w:rsidRPr="007B7E58" w:rsidRDefault="00850795" w:rsidP="00850795">
            <w:pPr>
              <w:rPr>
                <w:rFonts w:asciiTheme="minorHAnsi" w:hAnsiTheme="minorHAnsi" w:cstheme="minorBidi"/>
              </w:rPr>
            </w:pPr>
            <w:r>
              <w:rPr>
                <w:rFonts w:asciiTheme="minorHAnsi" w:hAnsiTheme="minorHAnsi" w:cstheme="minorBidi"/>
              </w:rPr>
              <w:t>LC-MS/MS, HPLC,</w:t>
            </w:r>
            <w:r w:rsidRPr="00850795">
              <w:rPr>
                <w:rFonts w:asciiTheme="minorHAnsi" w:hAnsiTheme="minorHAnsi" w:cstheme="minorBidi"/>
              </w:rPr>
              <w:t xml:space="preserve">UPLC-UV </w:t>
            </w:r>
          </w:p>
        </w:tc>
        <w:tc>
          <w:tcPr>
            <w:tcW w:w="1510" w:type="dxa"/>
          </w:tcPr>
          <w:p w14:paraId="12A3556C" w14:textId="77777777" w:rsidR="00850795" w:rsidRPr="00850795" w:rsidRDefault="00850795" w:rsidP="00850795">
            <w:pPr>
              <w:rPr>
                <w:rFonts w:asciiTheme="minorHAnsi" w:hAnsiTheme="minorHAnsi" w:cstheme="minorBidi"/>
              </w:rPr>
            </w:pPr>
            <w:r>
              <w:rPr>
                <w:rFonts w:asciiTheme="minorHAnsi" w:hAnsiTheme="minorHAnsi" w:cstheme="minorBidi"/>
              </w:rPr>
              <w:t>HPLC, IEC</w:t>
            </w:r>
          </w:p>
          <w:p w14:paraId="1F10D28C" w14:textId="77777777" w:rsidR="006B7899" w:rsidRPr="007B7E58" w:rsidRDefault="006B7899" w:rsidP="00374F00">
            <w:pPr>
              <w:rPr>
                <w:rFonts w:asciiTheme="minorHAnsi" w:hAnsiTheme="minorHAnsi" w:cstheme="minorBidi"/>
              </w:rPr>
            </w:pPr>
          </w:p>
        </w:tc>
        <w:tc>
          <w:tcPr>
            <w:tcW w:w="2261" w:type="dxa"/>
          </w:tcPr>
          <w:p w14:paraId="636A152E" w14:textId="77777777" w:rsidR="006B7899" w:rsidRPr="007B7E58" w:rsidRDefault="0083699D" w:rsidP="0083699D">
            <w:pPr>
              <w:rPr>
                <w:rFonts w:asciiTheme="minorHAnsi" w:hAnsiTheme="minorHAnsi" w:cstheme="minorBidi"/>
              </w:rPr>
            </w:pPr>
            <w:r>
              <w:rPr>
                <w:rFonts w:asciiTheme="minorHAnsi" w:hAnsiTheme="minorHAnsi" w:cstheme="minorBidi"/>
              </w:rPr>
              <w:t>PKU</w:t>
            </w:r>
            <w:r w:rsidR="006B7899" w:rsidRPr="007B7E58">
              <w:rPr>
                <w:rFonts w:asciiTheme="minorHAnsi" w:hAnsiTheme="minorHAnsi" w:cstheme="minorBidi"/>
              </w:rPr>
              <w:t xml:space="preserve"> </w:t>
            </w:r>
          </w:p>
        </w:tc>
      </w:tr>
      <w:tr w:rsidR="006B7899" w:rsidRPr="007B7E58" w14:paraId="629FECEA" w14:textId="77777777" w:rsidTr="008B54CB">
        <w:tc>
          <w:tcPr>
            <w:tcW w:w="1668" w:type="dxa"/>
          </w:tcPr>
          <w:p w14:paraId="6E6F464D" w14:textId="77777777" w:rsidR="006B7899" w:rsidRPr="007B7E58" w:rsidRDefault="006B7899" w:rsidP="00374F00">
            <w:pPr>
              <w:rPr>
                <w:rFonts w:asciiTheme="minorHAnsi" w:hAnsiTheme="minorHAnsi" w:cstheme="minorBidi"/>
              </w:rPr>
            </w:pPr>
            <w:r w:rsidRPr="007B7E58">
              <w:rPr>
                <w:rFonts w:asciiTheme="minorHAnsi" w:hAnsiTheme="minorHAnsi" w:cstheme="minorBidi"/>
              </w:rPr>
              <w:t>Tyrosine</w:t>
            </w:r>
          </w:p>
        </w:tc>
        <w:tc>
          <w:tcPr>
            <w:tcW w:w="850" w:type="dxa"/>
          </w:tcPr>
          <w:p w14:paraId="3DE8E37F" w14:textId="77777777" w:rsidR="006B7899" w:rsidRPr="007B7E58" w:rsidRDefault="006B7899" w:rsidP="00374F00">
            <w:pPr>
              <w:rPr>
                <w:rFonts w:asciiTheme="minorHAnsi" w:hAnsiTheme="minorHAnsi" w:cstheme="minorBidi"/>
              </w:rPr>
            </w:pPr>
          </w:p>
        </w:tc>
        <w:tc>
          <w:tcPr>
            <w:tcW w:w="1418" w:type="dxa"/>
          </w:tcPr>
          <w:p w14:paraId="2A6C4BCA" w14:textId="77777777" w:rsidR="006B7899" w:rsidRPr="007B7E58" w:rsidRDefault="006B7899" w:rsidP="00374F00">
            <w:pPr>
              <w:rPr>
                <w:rFonts w:asciiTheme="minorHAnsi" w:hAnsiTheme="minorHAnsi" w:cstheme="minorBidi"/>
              </w:rPr>
            </w:pPr>
          </w:p>
        </w:tc>
        <w:tc>
          <w:tcPr>
            <w:tcW w:w="1559" w:type="dxa"/>
          </w:tcPr>
          <w:p w14:paraId="17A45742" w14:textId="77777777" w:rsidR="006B7899" w:rsidRPr="007B7E58" w:rsidRDefault="00850795" w:rsidP="00374F00">
            <w:pPr>
              <w:rPr>
                <w:rFonts w:asciiTheme="minorHAnsi" w:hAnsiTheme="minorHAnsi" w:cstheme="minorBidi"/>
              </w:rPr>
            </w:pPr>
            <w:r>
              <w:rPr>
                <w:rFonts w:asciiTheme="minorHAnsi" w:hAnsiTheme="minorHAnsi" w:cstheme="minorBidi"/>
              </w:rPr>
              <w:t>LC-MS/MS, HPLC,</w:t>
            </w:r>
            <w:r w:rsidRPr="00850795">
              <w:rPr>
                <w:rFonts w:asciiTheme="minorHAnsi" w:hAnsiTheme="minorHAnsi" w:cstheme="minorBidi"/>
              </w:rPr>
              <w:t>UPLC-UV</w:t>
            </w:r>
          </w:p>
        </w:tc>
        <w:tc>
          <w:tcPr>
            <w:tcW w:w="1510" w:type="dxa"/>
          </w:tcPr>
          <w:p w14:paraId="16B42E69" w14:textId="77777777" w:rsidR="00850795" w:rsidRPr="00850795" w:rsidRDefault="00850795" w:rsidP="00850795">
            <w:pPr>
              <w:rPr>
                <w:rFonts w:asciiTheme="minorHAnsi" w:hAnsiTheme="minorHAnsi" w:cstheme="minorBidi"/>
              </w:rPr>
            </w:pPr>
            <w:r>
              <w:rPr>
                <w:rFonts w:asciiTheme="minorHAnsi" w:hAnsiTheme="minorHAnsi" w:cstheme="minorBidi"/>
              </w:rPr>
              <w:t>HPLC, IEC</w:t>
            </w:r>
          </w:p>
          <w:p w14:paraId="196524CC" w14:textId="77777777" w:rsidR="006B7899" w:rsidRPr="007B7E58" w:rsidRDefault="006B7899" w:rsidP="00374F00">
            <w:pPr>
              <w:rPr>
                <w:rFonts w:asciiTheme="minorHAnsi" w:hAnsiTheme="minorHAnsi" w:cstheme="minorBidi"/>
              </w:rPr>
            </w:pPr>
          </w:p>
        </w:tc>
        <w:tc>
          <w:tcPr>
            <w:tcW w:w="2261" w:type="dxa"/>
          </w:tcPr>
          <w:p w14:paraId="584177DB" w14:textId="77777777" w:rsidR="006B7899" w:rsidRPr="007B7E58" w:rsidRDefault="006B7899" w:rsidP="00374F00">
            <w:pPr>
              <w:rPr>
                <w:rFonts w:asciiTheme="minorHAnsi" w:hAnsiTheme="minorHAnsi" w:cstheme="minorBidi"/>
              </w:rPr>
            </w:pPr>
            <w:r w:rsidRPr="007B7E58">
              <w:rPr>
                <w:rFonts w:asciiTheme="minorHAnsi" w:hAnsiTheme="minorHAnsi" w:cstheme="minorBidi"/>
              </w:rPr>
              <w:t>P</w:t>
            </w:r>
            <w:r>
              <w:rPr>
                <w:rFonts w:asciiTheme="minorHAnsi" w:hAnsiTheme="minorHAnsi" w:cstheme="minorBidi"/>
              </w:rPr>
              <w:t>KU</w:t>
            </w:r>
            <w:r w:rsidRPr="007B7E58">
              <w:rPr>
                <w:rFonts w:asciiTheme="minorHAnsi" w:hAnsiTheme="minorHAnsi" w:cstheme="minorBidi"/>
              </w:rPr>
              <w:t>,</w:t>
            </w:r>
            <w:r>
              <w:rPr>
                <w:rFonts w:asciiTheme="minorHAnsi" w:hAnsiTheme="minorHAnsi" w:cstheme="minorBidi"/>
              </w:rPr>
              <w:t xml:space="preserve"> T</w:t>
            </w:r>
            <w:r w:rsidRPr="007B7E58">
              <w:rPr>
                <w:rFonts w:asciiTheme="minorHAnsi" w:hAnsiTheme="minorHAnsi" w:cstheme="minorBidi"/>
              </w:rPr>
              <w:t>yrosinaemia 1 &amp; 2, AKU</w:t>
            </w:r>
          </w:p>
        </w:tc>
      </w:tr>
      <w:tr w:rsidR="006B7899" w:rsidRPr="007B7E58" w14:paraId="20A17364" w14:textId="77777777" w:rsidTr="008B54CB">
        <w:tc>
          <w:tcPr>
            <w:tcW w:w="1668" w:type="dxa"/>
          </w:tcPr>
          <w:p w14:paraId="2C50BD7A" w14:textId="77777777" w:rsidR="006B7899" w:rsidRPr="007B7E58" w:rsidRDefault="0088004F" w:rsidP="0088004F">
            <w:pPr>
              <w:rPr>
                <w:rFonts w:asciiTheme="minorHAnsi" w:hAnsiTheme="minorHAnsi" w:cstheme="minorBidi"/>
              </w:rPr>
            </w:pPr>
            <w:r>
              <w:rPr>
                <w:rFonts w:asciiTheme="minorHAnsi" w:hAnsiTheme="minorHAnsi" w:cstheme="minorBidi"/>
              </w:rPr>
              <w:t>Branch-chain amino acids</w:t>
            </w:r>
            <w:r w:rsidR="008B54CB">
              <w:rPr>
                <w:rFonts w:asciiTheme="minorHAnsi" w:hAnsiTheme="minorHAnsi" w:cstheme="minorBidi"/>
              </w:rPr>
              <w:t xml:space="preserve"> (</w:t>
            </w:r>
            <w:r w:rsidR="003C0A61">
              <w:rPr>
                <w:rFonts w:asciiTheme="minorHAnsi" w:hAnsiTheme="minorHAnsi" w:cstheme="minorBidi"/>
              </w:rPr>
              <w:t>BAA</w:t>
            </w:r>
            <w:r w:rsidR="008B54CB">
              <w:rPr>
                <w:rFonts w:asciiTheme="minorHAnsi" w:hAnsiTheme="minorHAnsi" w:cstheme="minorBidi"/>
              </w:rPr>
              <w:t>)</w:t>
            </w:r>
          </w:p>
        </w:tc>
        <w:tc>
          <w:tcPr>
            <w:tcW w:w="850" w:type="dxa"/>
          </w:tcPr>
          <w:p w14:paraId="3081BD73" w14:textId="77777777" w:rsidR="006B7899" w:rsidRPr="007B7E58" w:rsidRDefault="006B7899" w:rsidP="00374F00">
            <w:pPr>
              <w:rPr>
                <w:rFonts w:asciiTheme="minorHAnsi" w:hAnsiTheme="minorHAnsi" w:cstheme="minorBidi"/>
              </w:rPr>
            </w:pPr>
            <w:r w:rsidRPr="007B7E58">
              <w:rPr>
                <w:rFonts w:asciiTheme="minorHAnsi" w:hAnsiTheme="minorHAnsi" w:cstheme="minorBidi"/>
              </w:rPr>
              <w:t>5</w:t>
            </w:r>
          </w:p>
        </w:tc>
        <w:tc>
          <w:tcPr>
            <w:tcW w:w="1418" w:type="dxa"/>
          </w:tcPr>
          <w:p w14:paraId="7C4DAD3B" w14:textId="77777777" w:rsidR="006B7899" w:rsidRPr="007B7E58" w:rsidRDefault="006B7899" w:rsidP="00374F00">
            <w:pPr>
              <w:rPr>
                <w:rFonts w:asciiTheme="minorHAnsi" w:hAnsiTheme="minorHAnsi" w:cstheme="minorBidi"/>
              </w:rPr>
            </w:pPr>
            <w:r w:rsidRPr="007B7E58">
              <w:rPr>
                <w:rFonts w:asciiTheme="minorHAnsi" w:hAnsiTheme="minorHAnsi" w:cstheme="minorBidi"/>
              </w:rPr>
              <w:t>5</w:t>
            </w:r>
          </w:p>
        </w:tc>
        <w:tc>
          <w:tcPr>
            <w:tcW w:w="1559" w:type="dxa"/>
          </w:tcPr>
          <w:p w14:paraId="4AFBA313" w14:textId="77777777" w:rsidR="006B7899" w:rsidRPr="007B7E58" w:rsidRDefault="00850795" w:rsidP="00374F00">
            <w:pPr>
              <w:rPr>
                <w:rFonts w:asciiTheme="minorHAnsi" w:hAnsiTheme="minorHAnsi" w:cstheme="minorBidi"/>
              </w:rPr>
            </w:pPr>
            <w:r>
              <w:rPr>
                <w:rFonts w:asciiTheme="minorHAnsi" w:hAnsiTheme="minorHAnsi" w:cstheme="minorBidi"/>
              </w:rPr>
              <w:t xml:space="preserve">LC-MS/MS, uHPLC, UPLC-UV, Biochrom </w:t>
            </w:r>
          </w:p>
        </w:tc>
        <w:tc>
          <w:tcPr>
            <w:tcW w:w="1510" w:type="dxa"/>
          </w:tcPr>
          <w:p w14:paraId="32ABE672" w14:textId="77777777" w:rsidR="00850795" w:rsidRPr="00850795" w:rsidRDefault="00850795" w:rsidP="00850795">
            <w:pPr>
              <w:rPr>
                <w:rFonts w:asciiTheme="minorHAnsi" w:hAnsiTheme="minorHAnsi" w:cstheme="minorBidi"/>
              </w:rPr>
            </w:pPr>
            <w:r>
              <w:rPr>
                <w:rFonts w:asciiTheme="minorHAnsi" w:hAnsiTheme="minorHAnsi" w:cstheme="minorBidi"/>
              </w:rPr>
              <w:t>Biochrom</w:t>
            </w:r>
            <w:r w:rsidRPr="00850795">
              <w:rPr>
                <w:rFonts w:asciiTheme="minorHAnsi" w:hAnsiTheme="minorHAnsi" w:cstheme="minorBidi"/>
              </w:rPr>
              <w:t>, HPLC</w:t>
            </w:r>
            <w:r>
              <w:rPr>
                <w:rFonts w:asciiTheme="minorHAnsi" w:hAnsiTheme="minorHAnsi" w:cstheme="minorBidi"/>
              </w:rPr>
              <w:t xml:space="preserve">, IEC </w:t>
            </w:r>
            <w:r w:rsidRPr="00850795">
              <w:rPr>
                <w:rFonts w:asciiTheme="minorHAnsi" w:hAnsiTheme="minorHAnsi" w:cstheme="minorBidi"/>
              </w:rPr>
              <w:t xml:space="preserve"> </w:t>
            </w:r>
          </w:p>
          <w:p w14:paraId="07B47564" w14:textId="77777777" w:rsidR="006B7899" w:rsidRPr="007B7E58" w:rsidRDefault="006B7899" w:rsidP="00374F00">
            <w:pPr>
              <w:rPr>
                <w:rFonts w:asciiTheme="minorHAnsi" w:hAnsiTheme="minorHAnsi" w:cstheme="minorBidi"/>
              </w:rPr>
            </w:pPr>
          </w:p>
        </w:tc>
        <w:tc>
          <w:tcPr>
            <w:tcW w:w="2261" w:type="dxa"/>
          </w:tcPr>
          <w:p w14:paraId="310825DE" w14:textId="77777777" w:rsidR="006B7899" w:rsidRPr="007B7E58" w:rsidRDefault="006B7899" w:rsidP="00374F00">
            <w:pPr>
              <w:rPr>
                <w:rFonts w:asciiTheme="minorHAnsi" w:hAnsiTheme="minorHAnsi" w:cstheme="minorBidi"/>
              </w:rPr>
            </w:pPr>
            <w:r w:rsidRPr="007B7E58">
              <w:rPr>
                <w:rFonts w:asciiTheme="minorHAnsi" w:hAnsiTheme="minorHAnsi" w:cstheme="minorBidi"/>
              </w:rPr>
              <w:t>MSUD</w:t>
            </w:r>
          </w:p>
        </w:tc>
      </w:tr>
      <w:tr w:rsidR="006B7899" w:rsidRPr="007B7E58" w14:paraId="1FC36BF7" w14:textId="77777777" w:rsidTr="008B54CB">
        <w:tc>
          <w:tcPr>
            <w:tcW w:w="1668" w:type="dxa"/>
          </w:tcPr>
          <w:p w14:paraId="6CD49094" w14:textId="77777777" w:rsidR="006B7899" w:rsidRPr="007B7E58" w:rsidRDefault="006B7899" w:rsidP="00374F00">
            <w:pPr>
              <w:rPr>
                <w:rFonts w:asciiTheme="minorHAnsi" w:hAnsiTheme="minorHAnsi" w:cstheme="minorBidi"/>
              </w:rPr>
            </w:pPr>
            <w:r w:rsidRPr="007B7E58">
              <w:rPr>
                <w:rFonts w:asciiTheme="minorHAnsi" w:hAnsiTheme="minorHAnsi" w:cstheme="minorBidi"/>
              </w:rPr>
              <w:t>Hcy (with methionine)</w:t>
            </w:r>
          </w:p>
        </w:tc>
        <w:tc>
          <w:tcPr>
            <w:tcW w:w="850" w:type="dxa"/>
          </w:tcPr>
          <w:p w14:paraId="31BB6205" w14:textId="77777777" w:rsidR="006B7899" w:rsidRPr="007B7E58" w:rsidRDefault="006B7899" w:rsidP="00374F00">
            <w:pPr>
              <w:rPr>
                <w:rFonts w:asciiTheme="minorHAnsi" w:hAnsiTheme="minorHAnsi" w:cstheme="minorBidi"/>
              </w:rPr>
            </w:pPr>
            <w:r w:rsidRPr="007B7E58">
              <w:rPr>
                <w:rFonts w:asciiTheme="minorHAnsi" w:hAnsiTheme="minorHAnsi" w:cstheme="minorBidi"/>
              </w:rPr>
              <w:t>3 (1)</w:t>
            </w:r>
          </w:p>
        </w:tc>
        <w:tc>
          <w:tcPr>
            <w:tcW w:w="1418" w:type="dxa"/>
          </w:tcPr>
          <w:p w14:paraId="7CAC3527" w14:textId="77777777" w:rsidR="006B7899" w:rsidRPr="007B7E58" w:rsidRDefault="006B7899" w:rsidP="00374F00">
            <w:pPr>
              <w:rPr>
                <w:rFonts w:asciiTheme="minorHAnsi" w:hAnsiTheme="minorHAnsi" w:cstheme="minorBidi"/>
              </w:rPr>
            </w:pPr>
            <w:r w:rsidRPr="007B7E58">
              <w:rPr>
                <w:rFonts w:asciiTheme="minorHAnsi" w:hAnsiTheme="minorHAnsi" w:cstheme="minorBidi"/>
              </w:rPr>
              <w:t>1</w:t>
            </w:r>
          </w:p>
        </w:tc>
        <w:tc>
          <w:tcPr>
            <w:tcW w:w="1559" w:type="dxa"/>
          </w:tcPr>
          <w:p w14:paraId="7580031D" w14:textId="77777777" w:rsidR="006B7899" w:rsidRPr="007B7E58" w:rsidRDefault="00850795" w:rsidP="00374F00">
            <w:pPr>
              <w:rPr>
                <w:rFonts w:asciiTheme="minorHAnsi" w:hAnsiTheme="minorHAnsi" w:cstheme="minorBidi"/>
              </w:rPr>
            </w:pPr>
            <w:r w:rsidRPr="00850795">
              <w:rPr>
                <w:rFonts w:asciiTheme="minorHAnsi" w:hAnsiTheme="minorHAnsi" w:cstheme="minorBidi"/>
              </w:rPr>
              <w:t>Chromsystem</w:t>
            </w:r>
            <w:r>
              <w:rPr>
                <w:rFonts w:asciiTheme="minorHAnsi" w:hAnsiTheme="minorHAnsi" w:cstheme="minorBidi"/>
              </w:rPr>
              <w:t xml:space="preserve">s kit, </w:t>
            </w:r>
            <w:r w:rsidRPr="00850795">
              <w:rPr>
                <w:rFonts w:asciiTheme="minorHAnsi" w:hAnsiTheme="minorHAnsi" w:cstheme="minorBidi"/>
              </w:rPr>
              <w:t xml:space="preserve">LC-MS/MS </w:t>
            </w:r>
          </w:p>
        </w:tc>
        <w:tc>
          <w:tcPr>
            <w:tcW w:w="1510" w:type="dxa"/>
          </w:tcPr>
          <w:p w14:paraId="4B0469BE" w14:textId="77777777" w:rsidR="00850795" w:rsidRPr="00850795" w:rsidRDefault="00850795" w:rsidP="00850795">
            <w:pPr>
              <w:rPr>
                <w:rFonts w:asciiTheme="minorHAnsi" w:hAnsiTheme="minorHAnsi" w:cstheme="minorBidi"/>
              </w:rPr>
            </w:pPr>
            <w:r>
              <w:rPr>
                <w:rFonts w:asciiTheme="minorHAnsi" w:hAnsiTheme="minorHAnsi" w:cstheme="minorBidi"/>
              </w:rPr>
              <w:t>HPLC</w:t>
            </w:r>
          </w:p>
          <w:p w14:paraId="035981C2" w14:textId="77777777" w:rsidR="006B7899" w:rsidRPr="007B7E58" w:rsidRDefault="006B7899" w:rsidP="00374F00">
            <w:pPr>
              <w:rPr>
                <w:rFonts w:asciiTheme="minorHAnsi" w:hAnsiTheme="minorHAnsi" w:cstheme="minorBidi"/>
              </w:rPr>
            </w:pPr>
          </w:p>
        </w:tc>
        <w:tc>
          <w:tcPr>
            <w:tcW w:w="2261" w:type="dxa"/>
          </w:tcPr>
          <w:p w14:paraId="1BD399E3" w14:textId="77777777" w:rsidR="006B7899" w:rsidRPr="007B7E58" w:rsidRDefault="006B7899" w:rsidP="00374F00">
            <w:pPr>
              <w:rPr>
                <w:rFonts w:asciiTheme="minorHAnsi" w:hAnsiTheme="minorHAnsi" w:cstheme="minorBidi"/>
              </w:rPr>
            </w:pPr>
            <w:r w:rsidRPr="007B7E58">
              <w:rPr>
                <w:rFonts w:asciiTheme="minorHAnsi" w:hAnsiTheme="minorHAnsi" w:cstheme="minorBidi"/>
              </w:rPr>
              <w:t>Homocystinuria, MTHFR</w:t>
            </w:r>
          </w:p>
        </w:tc>
      </w:tr>
      <w:tr w:rsidR="006B7899" w:rsidRPr="007B7E58" w14:paraId="05CE204C" w14:textId="77777777" w:rsidTr="008B54CB">
        <w:tc>
          <w:tcPr>
            <w:tcW w:w="1668" w:type="dxa"/>
          </w:tcPr>
          <w:p w14:paraId="271195AF" w14:textId="77777777" w:rsidR="006B7899" w:rsidRPr="007B7E58" w:rsidRDefault="006B7899" w:rsidP="00374F00">
            <w:pPr>
              <w:rPr>
                <w:rFonts w:asciiTheme="minorHAnsi" w:hAnsiTheme="minorHAnsi" w:cstheme="minorBidi"/>
              </w:rPr>
            </w:pPr>
            <w:r w:rsidRPr="007B7E58">
              <w:rPr>
                <w:rFonts w:asciiTheme="minorHAnsi" w:hAnsiTheme="minorHAnsi" w:cstheme="minorBidi"/>
              </w:rPr>
              <w:t xml:space="preserve">Full or limited amino acid profile </w:t>
            </w:r>
          </w:p>
        </w:tc>
        <w:tc>
          <w:tcPr>
            <w:tcW w:w="850" w:type="dxa"/>
          </w:tcPr>
          <w:p w14:paraId="68A821D4" w14:textId="77777777" w:rsidR="006B7899" w:rsidRPr="007B7E58" w:rsidRDefault="006B7899" w:rsidP="00374F00">
            <w:pPr>
              <w:rPr>
                <w:rFonts w:asciiTheme="minorHAnsi" w:hAnsiTheme="minorHAnsi" w:cstheme="minorBidi"/>
              </w:rPr>
            </w:pPr>
            <w:r w:rsidRPr="007B7E58">
              <w:rPr>
                <w:rFonts w:asciiTheme="minorHAnsi" w:hAnsiTheme="minorHAnsi" w:cstheme="minorBidi"/>
              </w:rPr>
              <w:t>1</w:t>
            </w:r>
          </w:p>
        </w:tc>
        <w:tc>
          <w:tcPr>
            <w:tcW w:w="1418" w:type="dxa"/>
          </w:tcPr>
          <w:p w14:paraId="1526B841" w14:textId="77777777" w:rsidR="006B7899" w:rsidRPr="007B7E58" w:rsidRDefault="006B7899" w:rsidP="00374F00">
            <w:pPr>
              <w:rPr>
                <w:rFonts w:asciiTheme="minorHAnsi" w:hAnsiTheme="minorHAnsi" w:cstheme="minorBidi"/>
              </w:rPr>
            </w:pPr>
            <w:r w:rsidRPr="007B7E58">
              <w:rPr>
                <w:rFonts w:asciiTheme="minorHAnsi" w:hAnsiTheme="minorHAnsi" w:cstheme="minorBidi"/>
              </w:rPr>
              <w:t>2</w:t>
            </w:r>
          </w:p>
        </w:tc>
        <w:tc>
          <w:tcPr>
            <w:tcW w:w="1559" w:type="dxa"/>
          </w:tcPr>
          <w:p w14:paraId="09776138" w14:textId="77777777" w:rsidR="00850795" w:rsidRPr="00850795" w:rsidRDefault="00F34C0E" w:rsidP="00850795">
            <w:pPr>
              <w:rPr>
                <w:rFonts w:asciiTheme="minorHAnsi" w:hAnsiTheme="minorHAnsi" w:cstheme="minorBidi"/>
              </w:rPr>
            </w:pPr>
            <w:r>
              <w:rPr>
                <w:rFonts w:asciiTheme="minorHAnsi" w:hAnsiTheme="minorHAnsi" w:cstheme="minorBidi"/>
              </w:rPr>
              <w:t>UPLC –UV</w:t>
            </w:r>
          </w:p>
          <w:p w14:paraId="43D95F62" w14:textId="77777777" w:rsidR="006B7899" w:rsidRPr="007B7E58" w:rsidRDefault="006B7899" w:rsidP="00374F00">
            <w:pPr>
              <w:rPr>
                <w:rFonts w:asciiTheme="minorHAnsi" w:hAnsiTheme="minorHAnsi" w:cstheme="minorBidi"/>
              </w:rPr>
            </w:pPr>
          </w:p>
        </w:tc>
        <w:tc>
          <w:tcPr>
            <w:tcW w:w="1510" w:type="dxa"/>
          </w:tcPr>
          <w:p w14:paraId="052D1BBB" w14:textId="77777777" w:rsidR="006B7899" w:rsidRPr="007B7E58" w:rsidRDefault="00850795" w:rsidP="00850795">
            <w:pPr>
              <w:rPr>
                <w:rFonts w:asciiTheme="minorHAnsi" w:hAnsiTheme="minorHAnsi" w:cstheme="minorBidi"/>
              </w:rPr>
            </w:pPr>
            <w:r>
              <w:rPr>
                <w:rFonts w:asciiTheme="minorHAnsi" w:hAnsiTheme="minorHAnsi" w:cstheme="minorBidi"/>
              </w:rPr>
              <w:t>Biochrom</w:t>
            </w:r>
            <w:r w:rsidRPr="00850795">
              <w:rPr>
                <w:rFonts w:asciiTheme="minorHAnsi" w:hAnsiTheme="minorHAnsi" w:cstheme="minorBidi"/>
              </w:rPr>
              <w:t xml:space="preserve">, IEC </w:t>
            </w:r>
          </w:p>
        </w:tc>
        <w:tc>
          <w:tcPr>
            <w:tcW w:w="2261" w:type="dxa"/>
          </w:tcPr>
          <w:p w14:paraId="2E8D8257" w14:textId="77777777" w:rsidR="006B7899" w:rsidRPr="007B7E58" w:rsidRDefault="006B7899" w:rsidP="00374F00">
            <w:pPr>
              <w:rPr>
                <w:rFonts w:asciiTheme="minorHAnsi" w:hAnsiTheme="minorHAnsi" w:cstheme="minorBidi"/>
              </w:rPr>
            </w:pPr>
            <w:r w:rsidRPr="007B7E58">
              <w:rPr>
                <w:rFonts w:asciiTheme="minorHAnsi" w:hAnsiTheme="minorHAnsi" w:cstheme="minorBidi"/>
              </w:rPr>
              <w:t>MSUD, PKU, Tyrosinaemia, UCDs, gyrate atrophy, AKU</w:t>
            </w:r>
          </w:p>
        </w:tc>
      </w:tr>
      <w:tr w:rsidR="006B7899" w:rsidRPr="007B7E58" w14:paraId="25EF9570" w14:textId="77777777" w:rsidTr="008B54CB">
        <w:tc>
          <w:tcPr>
            <w:tcW w:w="1668" w:type="dxa"/>
          </w:tcPr>
          <w:p w14:paraId="4FB9AB2C" w14:textId="77777777" w:rsidR="006B7899" w:rsidRPr="007B7E58" w:rsidRDefault="006B7899" w:rsidP="00374F00">
            <w:pPr>
              <w:rPr>
                <w:rFonts w:asciiTheme="minorHAnsi" w:hAnsiTheme="minorHAnsi" w:cstheme="minorBidi"/>
              </w:rPr>
            </w:pPr>
            <w:r>
              <w:rPr>
                <w:rFonts w:asciiTheme="minorHAnsi" w:hAnsiTheme="minorHAnsi" w:cstheme="minorBidi"/>
              </w:rPr>
              <w:t>Free carnitin</w:t>
            </w:r>
            <w:r w:rsidRPr="007B7E58">
              <w:rPr>
                <w:rFonts w:asciiTheme="minorHAnsi" w:hAnsiTheme="minorHAnsi" w:cstheme="minorBidi"/>
              </w:rPr>
              <w:t>e &amp; acylcarnitines</w:t>
            </w:r>
          </w:p>
        </w:tc>
        <w:tc>
          <w:tcPr>
            <w:tcW w:w="850" w:type="dxa"/>
          </w:tcPr>
          <w:p w14:paraId="20E88D3B" w14:textId="77777777" w:rsidR="006B7899" w:rsidRPr="007B7E58" w:rsidRDefault="006B7899" w:rsidP="00374F00">
            <w:pPr>
              <w:rPr>
                <w:rFonts w:asciiTheme="minorHAnsi" w:hAnsiTheme="minorHAnsi" w:cstheme="minorBidi"/>
              </w:rPr>
            </w:pPr>
            <w:r w:rsidRPr="007B7E58">
              <w:rPr>
                <w:rFonts w:asciiTheme="minorHAnsi" w:hAnsiTheme="minorHAnsi" w:cstheme="minorBidi"/>
              </w:rPr>
              <w:t>4</w:t>
            </w:r>
          </w:p>
        </w:tc>
        <w:tc>
          <w:tcPr>
            <w:tcW w:w="1418" w:type="dxa"/>
          </w:tcPr>
          <w:p w14:paraId="147EC689" w14:textId="77777777" w:rsidR="006B7899" w:rsidRPr="007B7E58" w:rsidRDefault="006B7899" w:rsidP="00374F00">
            <w:pPr>
              <w:rPr>
                <w:rFonts w:asciiTheme="minorHAnsi" w:hAnsiTheme="minorHAnsi" w:cstheme="minorBidi"/>
              </w:rPr>
            </w:pPr>
          </w:p>
        </w:tc>
        <w:tc>
          <w:tcPr>
            <w:tcW w:w="1559" w:type="dxa"/>
          </w:tcPr>
          <w:p w14:paraId="5E932ECA" w14:textId="77777777" w:rsidR="00850795" w:rsidRPr="00850795" w:rsidRDefault="00F34C0E" w:rsidP="00850795">
            <w:pPr>
              <w:rPr>
                <w:rFonts w:asciiTheme="minorHAnsi" w:hAnsiTheme="minorHAnsi" w:cstheme="minorBidi"/>
              </w:rPr>
            </w:pPr>
            <w:r>
              <w:rPr>
                <w:rFonts w:asciiTheme="minorHAnsi" w:hAnsiTheme="minorHAnsi" w:cstheme="minorBidi"/>
              </w:rPr>
              <w:t xml:space="preserve">FIA-MS/MS </w:t>
            </w:r>
          </w:p>
          <w:p w14:paraId="4F76DDFD" w14:textId="77777777" w:rsidR="006B7899" w:rsidRPr="007B7E58" w:rsidRDefault="00F34C0E" w:rsidP="00850795">
            <w:pPr>
              <w:rPr>
                <w:rFonts w:asciiTheme="minorHAnsi" w:hAnsiTheme="minorHAnsi" w:cstheme="minorBidi"/>
              </w:rPr>
            </w:pPr>
            <w:r>
              <w:rPr>
                <w:rFonts w:asciiTheme="minorHAnsi" w:hAnsiTheme="minorHAnsi" w:cstheme="minorBidi"/>
              </w:rPr>
              <w:t xml:space="preserve">LC-MS/MS </w:t>
            </w:r>
          </w:p>
        </w:tc>
        <w:tc>
          <w:tcPr>
            <w:tcW w:w="1510" w:type="dxa"/>
          </w:tcPr>
          <w:p w14:paraId="1E2F0E40" w14:textId="77777777" w:rsidR="006B7899" w:rsidRPr="007B7E58" w:rsidRDefault="006B7899" w:rsidP="00374F00">
            <w:pPr>
              <w:rPr>
                <w:rFonts w:asciiTheme="minorHAnsi" w:hAnsiTheme="minorHAnsi" w:cstheme="minorBidi"/>
              </w:rPr>
            </w:pPr>
          </w:p>
        </w:tc>
        <w:tc>
          <w:tcPr>
            <w:tcW w:w="2261" w:type="dxa"/>
          </w:tcPr>
          <w:p w14:paraId="0E4270D7" w14:textId="77777777" w:rsidR="006B7899" w:rsidRPr="007B7E58" w:rsidRDefault="006B7899" w:rsidP="00374F00">
            <w:pPr>
              <w:rPr>
                <w:rFonts w:asciiTheme="minorHAnsi" w:hAnsiTheme="minorHAnsi" w:cstheme="minorBidi"/>
              </w:rPr>
            </w:pPr>
            <w:r w:rsidRPr="007B7E58">
              <w:rPr>
                <w:rFonts w:asciiTheme="minorHAnsi" w:hAnsiTheme="minorHAnsi" w:cstheme="minorBidi"/>
              </w:rPr>
              <w:t>Patients on carnitine, FAODs, MMA, PA, GA1, Primary carnitine deficiency, ketogenic diets</w:t>
            </w:r>
          </w:p>
        </w:tc>
      </w:tr>
    </w:tbl>
    <w:p w14:paraId="7344BF67" w14:textId="77777777" w:rsidR="006B7899" w:rsidRPr="006B7899" w:rsidRDefault="006B7899" w:rsidP="006B7899">
      <w:pPr>
        <w:spacing w:after="120"/>
        <w:jc w:val="both"/>
        <w:rPr>
          <w:rFonts w:ascii="Arial" w:eastAsia="Times New Roman" w:hAnsi="Arial" w:cs="Arial"/>
          <w:szCs w:val="28"/>
        </w:rPr>
      </w:pPr>
    </w:p>
    <w:p w14:paraId="2F6FCAD4" w14:textId="77777777" w:rsidR="006B7899" w:rsidRPr="008B54CB" w:rsidRDefault="003A42B0" w:rsidP="008B54CB">
      <w:pPr>
        <w:pStyle w:val="ListParagraph"/>
        <w:numPr>
          <w:ilvl w:val="0"/>
          <w:numId w:val="20"/>
        </w:numPr>
        <w:spacing w:after="120"/>
        <w:jc w:val="both"/>
        <w:rPr>
          <w:rFonts w:ascii="Arial" w:eastAsia="Times New Roman" w:hAnsi="Arial" w:cs="Arial"/>
          <w:szCs w:val="28"/>
        </w:rPr>
      </w:pPr>
      <w:r>
        <w:rPr>
          <w:rFonts w:ascii="Arial" w:eastAsia="Times New Roman" w:hAnsi="Arial" w:cs="Arial"/>
          <w:szCs w:val="28"/>
        </w:rPr>
        <w:t>A</w:t>
      </w:r>
      <w:r w:rsidR="00C32B98" w:rsidRPr="006B7899">
        <w:rPr>
          <w:rFonts w:ascii="Arial" w:eastAsia="Times New Roman" w:hAnsi="Arial" w:cs="Arial"/>
          <w:szCs w:val="28"/>
        </w:rPr>
        <w:t xml:space="preserve">ll labs are </w:t>
      </w:r>
      <w:r>
        <w:rPr>
          <w:rFonts w:ascii="Arial" w:eastAsia="Times New Roman" w:hAnsi="Arial" w:cs="Arial"/>
          <w:szCs w:val="28"/>
        </w:rPr>
        <w:t xml:space="preserve">currently </w:t>
      </w:r>
      <w:r w:rsidR="00C32B98" w:rsidRPr="006B7899">
        <w:rPr>
          <w:rFonts w:ascii="Arial" w:eastAsia="Times New Roman" w:hAnsi="Arial" w:cs="Arial"/>
          <w:szCs w:val="28"/>
        </w:rPr>
        <w:t>providing phenylalanine and tyrosine</w:t>
      </w:r>
      <w:r>
        <w:rPr>
          <w:rFonts w:ascii="Arial" w:eastAsia="Times New Roman" w:hAnsi="Arial" w:cs="Arial"/>
          <w:szCs w:val="28"/>
        </w:rPr>
        <w:t xml:space="preserve"> testing on patient</w:t>
      </w:r>
      <w:r w:rsidR="0088004F">
        <w:rPr>
          <w:rFonts w:ascii="Arial" w:eastAsia="Times New Roman" w:hAnsi="Arial" w:cs="Arial"/>
          <w:szCs w:val="28"/>
        </w:rPr>
        <w:t>-</w:t>
      </w:r>
      <w:r>
        <w:rPr>
          <w:rFonts w:ascii="Arial" w:eastAsia="Times New Roman" w:hAnsi="Arial" w:cs="Arial"/>
          <w:szCs w:val="28"/>
        </w:rPr>
        <w:t xml:space="preserve">collected samples, </w:t>
      </w:r>
      <w:r w:rsidR="00C32B98" w:rsidRPr="006B7899">
        <w:rPr>
          <w:rFonts w:ascii="Arial" w:eastAsia="Times New Roman" w:hAnsi="Arial" w:cs="Arial"/>
          <w:szCs w:val="28"/>
        </w:rPr>
        <w:t>there is variable provision for BCAA</w:t>
      </w:r>
      <w:r w:rsidR="0083699D">
        <w:rPr>
          <w:rFonts w:ascii="Arial" w:eastAsia="Times New Roman" w:hAnsi="Arial" w:cs="Arial"/>
          <w:szCs w:val="28"/>
        </w:rPr>
        <w:t xml:space="preserve"> (both DBS </w:t>
      </w:r>
      <w:r w:rsidR="00850795">
        <w:rPr>
          <w:rFonts w:ascii="Arial" w:eastAsia="Times New Roman" w:hAnsi="Arial" w:cs="Arial"/>
          <w:szCs w:val="28"/>
        </w:rPr>
        <w:t xml:space="preserve">&amp; capillary) </w:t>
      </w:r>
      <w:r w:rsidR="0083699D">
        <w:rPr>
          <w:rFonts w:ascii="Arial" w:eastAsia="Times New Roman" w:hAnsi="Arial" w:cs="Arial"/>
          <w:szCs w:val="28"/>
        </w:rPr>
        <w:t>and</w:t>
      </w:r>
      <w:r>
        <w:rPr>
          <w:rFonts w:ascii="Arial" w:eastAsia="Times New Roman" w:hAnsi="Arial" w:cs="Arial"/>
          <w:szCs w:val="28"/>
        </w:rPr>
        <w:t xml:space="preserve"> limited provision of homocysteine</w:t>
      </w:r>
      <w:r w:rsidR="00C32B98" w:rsidRPr="006B7899">
        <w:rPr>
          <w:rFonts w:ascii="Arial" w:eastAsia="Times New Roman" w:hAnsi="Arial" w:cs="Arial"/>
          <w:szCs w:val="28"/>
        </w:rPr>
        <w:t xml:space="preserve"> (only one lab pro</w:t>
      </w:r>
      <w:r>
        <w:rPr>
          <w:rFonts w:ascii="Arial" w:eastAsia="Times New Roman" w:hAnsi="Arial" w:cs="Arial"/>
          <w:szCs w:val="28"/>
        </w:rPr>
        <w:t xml:space="preserve">viding with methionine) and of </w:t>
      </w:r>
      <w:r w:rsidR="0083699D">
        <w:rPr>
          <w:rFonts w:ascii="Arial" w:eastAsia="Times New Roman" w:hAnsi="Arial" w:cs="Arial"/>
          <w:szCs w:val="28"/>
        </w:rPr>
        <w:t>a</w:t>
      </w:r>
      <w:r w:rsidR="00C32B98" w:rsidRPr="006B7899">
        <w:rPr>
          <w:rFonts w:ascii="Arial" w:eastAsia="Times New Roman" w:hAnsi="Arial" w:cs="Arial"/>
          <w:szCs w:val="28"/>
        </w:rPr>
        <w:t xml:space="preserve"> full or limited amino acid profile</w:t>
      </w:r>
      <w:r>
        <w:rPr>
          <w:rFonts w:ascii="Arial" w:eastAsia="Times New Roman" w:hAnsi="Arial" w:cs="Arial"/>
          <w:szCs w:val="28"/>
        </w:rPr>
        <w:t>s</w:t>
      </w:r>
      <w:r w:rsidR="00FD5BD6">
        <w:rPr>
          <w:rFonts w:ascii="Arial" w:eastAsia="Times New Roman" w:hAnsi="Arial" w:cs="Arial"/>
          <w:szCs w:val="28"/>
        </w:rPr>
        <w:t xml:space="preserve"> (only 3 labs)</w:t>
      </w:r>
      <w:r w:rsidR="00336D08" w:rsidRPr="006B7899">
        <w:rPr>
          <w:rFonts w:ascii="Arial" w:eastAsia="Times New Roman" w:hAnsi="Arial" w:cs="Arial"/>
          <w:szCs w:val="28"/>
        </w:rPr>
        <w:t>.</w:t>
      </w:r>
      <w:r w:rsidR="006B7899" w:rsidRPr="006B7899">
        <w:rPr>
          <w:rFonts w:ascii="Arial" w:eastAsia="Times New Roman" w:hAnsi="Arial" w:cs="Arial"/>
          <w:szCs w:val="28"/>
        </w:rPr>
        <w:t xml:space="preserve"> </w:t>
      </w:r>
      <w:r w:rsidR="006B7899">
        <w:rPr>
          <w:rFonts w:ascii="Arial" w:eastAsia="Times New Roman" w:hAnsi="Arial" w:cs="Arial"/>
          <w:szCs w:val="28"/>
        </w:rPr>
        <w:t>A</w:t>
      </w:r>
      <w:r w:rsidR="006B7899" w:rsidRPr="006B7899">
        <w:rPr>
          <w:rFonts w:ascii="Arial" w:eastAsia="Times New Roman" w:hAnsi="Arial" w:cs="Arial"/>
          <w:szCs w:val="28"/>
        </w:rPr>
        <w:t xml:space="preserve">ll </w:t>
      </w:r>
      <w:r w:rsidR="006B7899">
        <w:rPr>
          <w:rFonts w:ascii="Arial" w:eastAsia="Times New Roman" w:hAnsi="Arial" w:cs="Arial"/>
          <w:szCs w:val="28"/>
        </w:rPr>
        <w:t xml:space="preserve">responding </w:t>
      </w:r>
      <w:r w:rsidR="0083699D">
        <w:rPr>
          <w:rFonts w:ascii="Arial" w:eastAsia="Times New Roman" w:hAnsi="Arial" w:cs="Arial"/>
          <w:szCs w:val="28"/>
        </w:rPr>
        <w:t>labs provide DBS</w:t>
      </w:r>
      <w:r w:rsidR="006B7899" w:rsidRPr="006B7899">
        <w:rPr>
          <w:rFonts w:ascii="Arial" w:eastAsia="Times New Roman" w:hAnsi="Arial" w:cs="Arial"/>
          <w:szCs w:val="28"/>
        </w:rPr>
        <w:t xml:space="preserve"> carnitine and acylcarnitines </w:t>
      </w:r>
      <w:r>
        <w:rPr>
          <w:rFonts w:ascii="Arial" w:eastAsia="Times New Roman" w:hAnsi="Arial" w:cs="Arial"/>
          <w:szCs w:val="28"/>
        </w:rPr>
        <w:t>profile</w:t>
      </w:r>
      <w:r w:rsidR="00F34C0E">
        <w:rPr>
          <w:rFonts w:ascii="Arial" w:eastAsia="Times New Roman" w:hAnsi="Arial" w:cs="Arial"/>
          <w:szCs w:val="28"/>
        </w:rPr>
        <w:t>s</w:t>
      </w:r>
      <w:r>
        <w:rPr>
          <w:rFonts w:ascii="Arial" w:eastAsia="Times New Roman" w:hAnsi="Arial" w:cs="Arial"/>
          <w:szCs w:val="28"/>
        </w:rPr>
        <w:t xml:space="preserve"> but </w:t>
      </w:r>
      <w:r w:rsidR="006B7899" w:rsidRPr="006B7899">
        <w:rPr>
          <w:rFonts w:ascii="Arial" w:eastAsia="Times New Roman" w:hAnsi="Arial" w:cs="Arial"/>
          <w:szCs w:val="28"/>
        </w:rPr>
        <w:t xml:space="preserve">very few </w:t>
      </w:r>
      <w:r>
        <w:rPr>
          <w:rFonts w:ascii="Arial" w:eastAsia="Times New Roman" w:hAnsi="Arial" w:cs="Arial"/>
          <w:szCs w:val="28"/>
        </w:rPr>
        <w:t xml:space="preserve">currently </w:t>
      </w:r>
      <w:r w:rsidR="00F34C0E">
        <w:rPr>
          <w:rFonts w:ascii="Arial" w:eastAsia="Times New Roman" w:hAnsi="Arial" w:cs="Arial"/>
          <w:szCs w:val="28"/>
        </w:rPr>
        <w:t xml:space="preserve">provide these </w:t>
      </w:r>
      <w:r w:rsidR="006B7899" w:rsidRPr="006B7899">
        <w:rPr>
          <w:rFonts w:ascii="Arial" w:eastAsia="Times New Roman" w:hAnsi="Arial" w:cs="Arial"/>
          <w:szCs w:val="28"/>
        </w:rPr>
        <w:t>on patient collected samples.</w:t>
      </w:r>
      <w:r w:rsidR="00336D08" w:rsidRPr="006B7899">
        <w:rPr>
          <w:rFonts w:ascii="Arial" w:eastAsia="Times New Roman" w:hAnsi="Arial" w:cs="Arial"/>
          <w:szCs w:val="28"/>
        </w:rPr>
        <w:t xml:space="preserve"> </w:t>
      </w:r>
    </w:p>
    <w:p w14:paraId="6EC4FCF5" w14:textId="77777777" w:rsidR="002D2002" w:rsidRDefault="006B7899" w:rsidP="002D2002">
      <w:pPr>
        <w:pStyle w:val="ListParagraph"/>
        <w:numPr>
          <w:ilvl w:val="0"/>
          <w:numId w:val="20"/>
        </w:numPr>
        <w:spacing w:before="120"/>
        <w:rPr>
          <w:rFonts w:ascii="Arial" w:eastAsia="Times New Roman" w:hAnsi="Arial" w:cs="Arial"/>
          <w:szCs w:val="28"/>
        </w:rPr>
      </w:pPr>
      <w:r w:rsidRPr="006B7899">
        <w:rPr>
          <w:rFonts w:ascii="Arial" w:eastAsia="Times New Roman" w:hAnsi="Arial" w:cs="Arial"/>
          <w:szCs w:val="28"/>
        </w:rPr>
        <w:t>Testing is provided using a variety of different analytical platforms. Additional information was requested regarding methodology, responses highlight the following variations in practice.</w:t>
      </w:r>
    </w:p>
    <w:p w14:paraId="162929F5" w14:textId="77777777" w:rsidR="002D2002" w:rsidRPr="002D2002" w:rsidRDefault="002D2002" w:rsidP="002D2002">
      <w:pPr>
        <w:pStyle w:val="ListParagraph"/>
        <w:numPr>
          <w:ilvl w:val="1"/>
          <w:numId w:val="20"/>
        </w:numPr>
        <w:rPr>
          <w:rFonts w:ascii="Arial" w:eastAsia="Times New Roman" w:hAnsi="Arial" w:cs="Arial"/>
          <w:szCs w:val="28"/>
        </w:rPr>
      </w:pPr>
      <w:r w:rsidRPr="002D2002">
        <w:rPr>
          <w:rFonts w:ascii="Arial" w:eastAsia="Times New Roman" w:hAnsi="Arial" w:cs="Arial"/>
          <w:szCs w:val="28"/>
        </w:rPr>
        <w:t>IQC – in house, CDC, commercial (Chromsystems, Clin Check, Neobase)</w:t>
      </w:r>
    </w:p>
    <w:p w14:paraId="443B65A9" w14:textId="77777777" w:rsidR="002D2002" w:rsidRPr="002D2002" w:rsidRDefault="002D2002" w:rsidP="002D2002">
      <w:pPr>
        <w:pStyle w:val="ListParagraph"/>
        <w:numPr>
          <w:ilvl w:val="1"/>
          <w:numId w:val="20"/>
        </w:numPr>
        <w:rPr>
          <w:rFonts w:ascii="Arial" w:eastAsia="Times New Roman" w:hAnsi="Arial" w:cs="Arial"/>
          <w:szCs w:val="28"/>
        </w:rPr>
      </w:pPr>
      <w:r w:rsidRPr="002D2002">
        <w:rPr>
          <w:rFonts w:ascii="Arial" w:eastAsia="Times New Roman" w:hAnsi="Arial" w:cs="Arial"/>
          <w:szCs w:val="28"/>
        </w:rPr>
        <w:t xml:space="preserve">EQA – ERNDIM (blood spot, </w:t>
      </w:r>
      <w:r w:rsidRPr="002D2002">
        <w:rPr>
          <w:rFonts w:ascii="Arial" w:eastAsia="Times New Roman" w:hAnsi="Arial" w:cs="Arial"/>
          <w:szCs w:val="28"/>
          <w:lang w:val="el-GR"/>
        </w:rPr>
        <w:t>αα</w:t>
      </w:r>
      <w:r w:rsidRPr="002D2002">
        <w:rPr>
          <w:rFonts w:ascii="Arial" w:eastAsia="Times New Roman" w:hAnsi="Arial" w:cs="Arial"/>
          <w:szCs w:val="28"/>
        </w:rPr>
        <w:t>, carnitine), NEQAS (</w:t>
      </w:r>
      <w:r w:rsidRPr="002D2002">
        <w:rPr>
          <w:rFonts w:ascii="Arial" w:eastAsia="Times New Roman" w:hAnsi="Arial" w:cs="Arial"/>
          <w:szCs w:val="28"/>
          <w:lang w:val="el-GR"/>
        </w:rPr>
        <w:t>αα</w:t>
      </w:r>
      <w:r w:rsidRPr="002D2002">
        <w:rPr>
          <w:rFonts w:ascii="Arial" w:eastAsia="Times New Roman" w:hAnsi="Arial" w:cs="Arial"/>
          <w:szCs w:val="28"/>
        </w:rPr>
        <w:t>),</w:t>
      </w:r>
    </w:p>
    <w:p w14:paraId="35B7CD13" w14:textId="77777777" w:rsidR="002D2002" w:rsidRPr="002D2002" w:rsidRDefault="002D2002" w:rsidP="002D2002">
      <w:pPr>
        <w:pStyle w:val="ListParagraph"/>
        <w:numPr>
          <w:ilvl w:val="1"/>
          <w:numId w:val="20"/>
        </w:numPr>
        <w:rPr>
          <w:rFonts w:ascii="Arial" w:eastAsia="Times New Roman" w:hAnsi="Arial" w:cs="Arial"/>
          <w:szCs w:val="28"/>
        </w:rPr>
      </w:pPr>
      <w:r w:rsidRPr="002D2002">
        <w:rPr>
          <w:rFonts w:ascii="Arial" w:eastAsia="Times New Roman" w:hAnsi="Arial" w:cs="Arial"/>
          <w:szCs w:val="28"/>
        </w:rPr>
        <w:t>Reference ranges – local, published guidelines, none (dependant on IMD clinician’s treatment targets)</w:t>
      </w:r>
      <w:r w:rsidR="003A42B0">
        <w:rPr>
          <w:rFonts w:ascii="Arial" w:eastAsia="Times New Roman" w:hAnsi="Arial" w:cs="Arial"/>
          <w:szCs w:val="28"/>
        </w:rPr>
        <w:t>, one lab report</w:t>
      </w:r>
      <w:r w:rsidR="0083699D">
        <w:rPr>
          <w:rFonts w:ascii="Arial" w:eastAsia="Times New Roman" w:hAnsi="Arial" w:cs="Arial"/>
          <w:szCs w:val="28"/>
        </w:rPr>
        <w:t>s</w:t>
      </w:r>
      <w:r w:rsidR="003A42B0">
        <w:rPr>
          <w:rFonts w:ascii="Arial" w:eastAsia="Times New Roman" w:hAnsi="Arial" w:cs="Arial"/>
          <w:szCs w:val="28"/>
        </w:rPr>
        <w:t xml:space="preserve"> </w:t>
      </w:r>
      <w:r>
        <w:rPr>
          <w:rFonts w:ascii="Arial" w:eastAsia="Times New Roman" w:hAnsi="Arial" w:cs="Arial"/>
          <w:szCs w:val="28"/>
        </w:rPr>
        <w:t>plasma equ</w:t>
      </w:r>
      <w:r w:rsidR="003A42B0">
        <w:rPr>
          <w:rFonts w:ascii="Arial" w:eastAsia="Times New Roman" w:hAnsi="Arial" w:cs="Arial"/>
          <w:szCs w:val="28"/>
        </w:rPr>
        <w:t>ivalents for blood spot results and</w:t>
      </w:r>
      <w:r>
        <w:rPr>
          <w:rFonts w:ascii="Arial" w:eastAsia="Times New Roman" w:hAnsi="Arial" w:cs="Arial"/>
          <w:szCs w:val="28"/>
        </w:rPr>
        <w:t xml:space="preserve"> </w:t>
      </w:r>
      <w:r w:rsidRPr="002D2002">
        <w:rPr>
          <w:rFonts w:ascii="Arial" w:eastAsia="Times New Roman" w:hAnsi="Arial" w:cs="Arial"/>
          <w:szCs w:val="28"/>
        </w:rPr>
        <w:t xml:space="preserve">one lab reports </w:t>
      </w:r>
      <w:r w:rsidR="003A42B0">
        <w:rPr>
          <w:rFonts w:ascii="Arial" w:eastAsia="Times New Roman" w:hAnsi="Arial" w:cs="Arial"/>
          <w:szCs w:val="28"/>
        </w:rPr>
        <w:t xml:space="preserve">blood spot results </w:t>
      </w:r>
      <w:r w:rsidRPr="002D2002">
        <w:rPr>
          <w:rFonts w:ascii="Arial" w:eastAsia="Times New Roman" w:hAnsi="Arial" w:cs="Arial"/>
          <w:szCs w:val="28"/>
        </w:rPr>
        <w:t>with plasma ranges for reference.</w:t>
      </w:r>
    </w:p>
    <w:p w14:paraId="67433315" w14:textId="77777777" w:rsidR="002D2002" w:rsidRPr="008B54CB" w:rsidRDefault="003A42B0" w:rsidP="008B54CB">
      <w:pPr>
        <w:pStyle w:val="ListParagraph"/>
        <w:numPr>
          <w:ilvl w:val="1"/>
          <w:numId w:val="20"/>
        </w:numPr>
        <w:rPr>
          <w:rFonts w:ascii="Arial" w:eastAsia="Times New Roman" w:hAnsi="Arial" w:cs="Arial"/>
          <w:szCs w:val="28"/>
        </w:rPr>
      </w:pPr>
      <w:r w:rsidRPr="0088004F">
        <w:rPr>
          <w:rFonts w:ascii="Arial" w:eastAsia="Times New Roman" w:hAnsi="Arial" w:cs="Arial"/>
          <w:szCs w:val="28"/>
        </w:rPr>
        <w:t xml:space="preserve">Many labs reported </w:t>
      </w:r>
      <w:r w:rsidR="0088004F" w:rsidRPr="0088004F">
        <w:rPr>
          <w:rFonts w:ascii="Arial" w:eastAsia="Times New Roman" w:hAnsi="Arial" w:cs="Arial"/>
          <w:szCs w:val="28"/>
        </w:rPr>
        <w:t xml:space="preserve">problems with these processes including </w:t>
      </w:r>
      <w:r w:rsidR="00A409AB">
        <w:rPr>
          <w:rFonts w:ascii="Arial" w:eastAsia="Times New Roman" w:hAnsi="Arial" w:cs="Arial"/>
          <w:szCs w:val="28"/>
        </w:rPr>
        <w:t>poor quality</w:t>
      </w:r>
      <w:r w:rsidR="0083699D" w:rsidRPr="0088004F">
        <w:rPr>
          <w:rFonts w:ascii="Arial" w:eastAsia="Times New Roman" w:hAnsi="Arial" w:cs="Arial"/>
          <w:szCs w:val="28"/>
        </w:rPr>
        <w:t xml:space="preserve"> DBS</w:t>
      </w:r>
      <w:r w:rsidRPr="0088004F">
        <w:rPr>
          <w:rFonts w:ascii="Arial" w:eastAsia="Times New Roman" w:hAnsi="Arial" w:cs="Arial"/>
          <w:szCs w:val="28"/>
        </w:rPr>
        <w:t xml:space="preserve"> </w:t>
      </w:r>
      <w:r w:rsidR="00A409AB">
        <w:rPr>
          <w:rFonts w:ascii="Arial" w:eastAsia="Times New Roman" w:hAnsi="Arial" w:cs="Arial"/>
          <w:szCs w:val="28"/>
        </w:rPr>
        <w:t>samples</w:t>
      </w:r>
      <w:r w:rsidR="008B54CB">
        <w:rPr>
          <w:rFonts w:ascii="Arial" w:eastAsia="Times New Roman" w:hAnsi="Arial" w:cs="Arial"/>
          <w:szCs w:val="28"/>
        </w:rPr>
        <w:t>,</w:t>
      </w:r>
      <w:r w:rsidRPr="00A409AB">
        <w:rPr>
          <w:rFonts w:ascii="Arial" w:eastAsia="Times New Roman" w:hAnsi="Arial" w:cs="Arial"/>
          <w:szCs w:val="28"/>
        </w:rPr>
        <w:t xml:space="preserve"> use </w:t>
      </w:r>
      <w:r w:rsidR="0083699D" w:rsidRPr="00A409AB">
        <w:rPr>
          <w:rFonts w:ascii="Arial" w:eastAsia="Times New Roman" w:hAnsi="Arial" w:cs="Arial"/>
          <w:szCs w:val="28"/>
        </w:rPr>
        <w:t xml:space="preserve">of </w:t>
      </w:r>
      <w:r w:rsidR="008B54CB">
        <w:rPr>
          <w:rFonts w:ascii="Arial" w:eastAsia="Times New Roman" w:hAnsi="Arial" w:cs="Arial"/>
          <w:szCs w:val="28"/>
        </w:rPr>
        <w:t>out of date cards</w:t>
      </w:r>
      <w:r w:rsidR="0088004F" w:rsidRPr="00A409AB">
        <w:rPr>
          <w:rFonts w:ascii="Arial" w:eastAsia="Times New Roman" w:hAnsi="Arial" w:cs="Arial"/>
          <w:szCs w:val="28"/>
        </w:rPr>
        <w:t>, c</w:t>
      </w:r>
      <w:r w:rsidR="002D2002" w:rsidRPr="00A409AB">
        <w:rPr>
          <w:rFonts w:ascii="Arial" w:eastAsia="Times New Roman" w:hAnsi="Arial" w:cs="Arial"/>
          <w:szCs w:val="28"/>
        </w:rPr>
        <w:t>apillary</w:t>
      </w:r>
      <w:r w:rsidR="0088004F" w:rsidRPr="00A409AB">
        <w:rPr>
          <w:rFonts w:ascii="Arial" w:eastAsia="Times New Roman" w:hAnsi="Arial" w:cs="Arial"/>
          <w:szCs w:val="28"/>
        </w:rPr>
        <w:t xml:space="preserve"> samples t</w:t>
      </w:r>
      <w:r w:rsidR="00A409AB">
        <w:rPr>
          <w:rFonts w:ascii="Arial" w:eastAsia="Times New Roman" w:hAnsi="Arial" w:cs="Arial"/>
          <w:szCs w:val="28"/>
        </w:rPr>
        <w:t>hat are too small or haemolysed and</w:t>
      </w:r>
      <w:r w:rsidR="0088004F" w:rsidRPr="00A409AB">
        <w:rPr>
          <w:rFonts w:ascii="Arial" w:eastAsia="Times New Roman" w:hAnsi="Arial" w:cs="Arial"/>
          <w:szCs w:val="28"/>
        </w:rPr>
        <w:t xml:space="preserve"> postal delays.</w:t>
      </w:r>
    </w:p>
    <w:p w14:paraId="180B9D06" w14:textId="77777777" w:rsidR="002D2002" w:rsidRPr="002D2002" w:rsidRDefault="002D2002" w:rsidP="002D2002">
      <w:pPr>
        <w:pStyle w:val="ListParagraph"/>
        <w:numPr>
          <w:ilvl w:val="0"/>
          <w:numId w:val="20"/>
        </w:numPr>
        <w:spacing w:before="120"/>
        <w:rPr>
          <w:rFonts w:ascii="Arial" w:eastAsia="Times New Roman" w:hAnsi="Arial" w:cs="Arial"/>
          <w:szCs w:val="28"/>
        </w:rPr>
      </w:pPr>
      <w:r w:rsidRPr="002D2002">
        <w:rPr>
          <w:rFonts w:ascii="Arial" w:eastAsia="Times New Roman" w:hAnsi="Arial" w:cs="Arial"/>
          <w:szCs w:val="28"/>
        </w:rPr>
        <w:t>A variety of sampl</w:t>
      </w:r>
      <w:r>
        <w:rPr>
          <w:rFonts w:ascii="Arial" w:eastAsia="Times New Roman" w:hAnsi="Arial" w:cs="Arial"/>
          <w:szCs w:val="28"/>
        </w:rPr>
        <w:t>e collection devices</w:t>
      </w:r>
      <w:r w:rsidR="00FD5BD6">
        <w:rPr>
          <w:rFonts w:ascii="Arial" w:eastAsia="Times New Roman" w:hAnsi="Arial" w:cs="Arial"/>
          <w:szCs w:val="28"/>
        </w:rPr>
        <w:t xml:space="preserve"> and lancets</w:t>
      </w:r>
      <w:r>
        <w:rPr>
          <w:rFonts w:ascii="Arial" w:eastAsia="Times New Roman" w:hAnsi="Arial" w:cs="Arial"/>
          <w:szCs w:val="28"/>
        </w:rPr>
        <w:t xml:space="preserve"> are in use</w:t>
      </w:r>
      <w:r w:rsidRPr="002D2002">
        <w:rPr>
          <w:rFonts w:ascii="Arial" w:eastAsia="Times New Roman" w:hAnsi="Arial" w:cs="Arial"/>
          <w:szCs w:val="28"/>
        </w:rPr>
        <w:t xml:space="preserve"> for blood spot</w:t>
      </w:r>
      <w:r w:rsidR="00FD5BD6">
        <w:rPr>
          <w:rFonts w:ascii="Arial" w:eastAsia="Times New Roman" w:hAnsi="Arial" w:cs="Arial"/>
          <w:szCs w:val="28"/>
        </w:rPr>
        <w:t xml:space="preserve"> (newborn screening cards, Perkin Emmer 226 card)</w:t>
      </w:r>
      <w:r w:rsidRPr="002D2002">
        <w:rPr>
          <w:rFonts w:ascii="Arial" w:eastAsia="Times New Roman" w:hAnsi="Arial" w:cs="Arial"/>
          <w:szCs w:val="28"/>
        </w:rPr>
        <w:t xml:space="preserve"> and capillary samples</w:t>
      </w:r>
      <w:r w:rsidR="00FD5BD6">
        <w:rPr>
          <w:rFonts w:ascii="Arial" w:eastAsia="Times New Roman" w:hAnsi="Arial" w:cs="Arial"/>
          <w:szCs w:val="28"/>
        </w:rPr>
        <w:t xml:space="preserve"> (Sarsted, Microvette tubes)</w:t>
      </w:r>
      <w:r>
        <w:rPr>
          <w:rFonts w:ascii="Arial" w:eastAsia="Times New Roman" w:hAnsi="Arial" w:cs="Arial"/>
          <w:szCs w:val="28"/>
        </w:rPr>
        <w:t>.</w:t>
      </w:r>
      <w:r w:rsidR="002236B3">
        <w:rPr>
          <w:rFonts w:ascii="Arial" w:eastAsia="Times New Roman" w:hAnsi="Arial" w:cs="Arial"/>
          <w:szCs w:val="28"/>
        </w:rPr>
        <w:t xml:space="preserve"> </w:t>
      </w:r>
      <w:r w:rsidRPr="002D2002">
        <w:rPr>
          <w:rFonts w:ascii="Arial" w:eastAsia="Times New Roman" w:hAnsi="Arial" w:cs="Arial"/>
          <w:szCs w:val="28"/>
        </w:rPr>
        <w:t xml:space="preserve"> </w:t>
      </w:r>
      <w:r>
        <w:rPr>
          <w:rFonts w:ascii="Arial" w:eastAsia="Times New Roman" w:hAnsi="Arial" w:cs="Arial"/>
          <w:szCs w:val="28"/>
        </w:rPr>
        <w:t xml:space="preserve">Collection </w:t>
      </w:r>
      <w:r w:rsidRPr="002D2002">
        <w:rPr>
          <w:rFonts w:ascii="Arial" w:eastAsia="Times New Roman" w:hAnsi="Arial" w:cs="Arial"/>
          <w:szCs w:val="28"/>
        </w:rPr>
        <w:t xml:space="preserve">kits </w:t>
      </w:r>
      <w:r>
        <w:rPr>
          <w:rFonts w:ascii="Arial" w:eastAsia="Times New Roman" w:hAnsi="Arial" w:cs="Arial"/>
          <w:szCs w:val="28"/>
        </w:rPr>
        <w:t xml:space="preserve">are </w:t>
      </w:r>
      <w:r w:rsidRPr="002D2002">
        <w:rPr>
          <w:rFonts w:ascii="Arial" w:eastAsia="Times New Roman" w:hAnsi="Arial" w:cs="Arial"/>
          <w:szCs w:val="28"/>
        </w:rPr>
        <w:t xml:space="preserve">sent out by </w:t>
      </w:r>
      <w:r>
        <w:rPr>
          <w:rFonts w:ascii="Arial" w:eastAsia="Times New Roman" w:hAnsi="Arial" w:cs="Arial"/>
          <w:szCs w:val="28"/>
        </w:rPr>
        <w:t xml:space="preserve">some labs </w:t>
      </w:r>
      <w:r w:rsidRPr="002D2002">
        <w:rPr>
          <w:rFonts w:ascii="Arial" w:eastAsia="Times New Roman" w:hAnsi="Arial" w:cs="Arial"/>
          <w:szCs w:val="28"/>
        </w:rPr>
        <w:t>o</w:t>
      </w:r>
      <w:r>
        <w:rPr>
          <w:rFonts w:ascii="Arial" w:eastAsia="Times New Roman" w:hAnsi="Arial" w:cs="Arial"/>
          <w:szCs w:val="28"/>
        </w:rPr>
        <w:t xml:space="preserve">ften with </w:t>
      </w:r>
      <w:r w:rsidR="0083699D">
        <w:rPr>
          <w:rFonts w:ascii="Arial" w:eastAsia="Times New Roman" w:hAnsi="Arial" w:cs="Arial"/>
          <w:szCs w:val="28"/>
        </w:rPr>
        <w:t xml:space="preserve">the </w:t>
      </w:r>
      <w:r>
        <w:rPr>
          <w:rFonts w:ascii="Arial" w:eastAsia="Times New Roman" w:hAnsi="Arial" w:cs="Arial"/>
          <w:szCs w:val="28"/>
        </w:rPr>
        <w:t>support of dieticians.</w:t>
      </w:r>
      <w:r w:rsidR="00A409AB">
        <w:rPr>
          <w:rFonts w:ascii="Arial" w:eastAsia="Times New Roman" w:hAnsi="Arial" w:cs="Arial"/>
          <w:szCs w:val="28"/>
        </w:rPr>
        <w:t xml:space="preserve"> </w:t>
      </w:r>
    </w:p>
    <w:p w14:paraId="1093B457" w14:textId="77777777" w:rsidR="003E61B9" w:rsidRDefault="003E61B9" w:rsidP="002D2002">
      <w:pPr>
        <w:spacing w:after="120"/>
        <w:jc w:val="both"/>
        <w:rPr>
          <w:rFonts w:ascii="Arial" w:eastAsia="Times New Roman" w:hAnsi="Arial" w:cs="Arial"/>
          <w:szCs w:val="28"/>
        </w:rPr>
      </w:pPr>
    </w:p>
    <w:p w14:paraId="0D7A3A30" w14:textId="77777777" w:rsidR="0057062E" w:rsidRDefault="00C462DB" w:rsidP="00C462DB">
      <w:pPr>
        <w:spacing w:before="120"/>
        <w:jc w:val="both"/>
        <w:rPr>
          <w:rFonts w:ascii="Arial" w:eastAsia="Times New Roman" w:hAnsi="Arial" w:cs="Arial"/>
          <w:b/>
          <w:szCs w:val="28"/>
        </w:rPr>
      </w:pPr>
      <w:r>
        <w:rPr>
          <w:rFonts w:ascii="Arial" w:eastAsia="Times New Roman" w:hAnsi="Arial" w:cs="Arial"/>
          <w:b/>
          <w:szCs w:val="28"/>
        </w:rPr>
        <w:lastRenderedPageBreak/>
        <w:t xml:space="preserve">Use of </w:t>
      </w:r>
      <w:r w:rsidR="00390B6A">
        <w:rPr>
          <w:rFonts w:ascii="Arial" w:eastAsia="Times New Roman" w:hAnsi="Arial" w:cs="Arial"/>
          <w:b/>
          <w:szCs w:val="28"/>
        </w:rPr>
        <w:t>DBS s</w:t>
      </w:r>
      <w:r>
        <w:rPr>
          <w:rFonts w:ascii="Arial" w:eastAsia="Times New Roman" w:hAnsi="Arial" w:cs="Arial"/>
          <w:b/>
          <w:szCs w:val="28"/>
        </w:rPr>
        <w:t>amples to monitor IMD patients</w:t>
      </w:r>
    </w:p>
    <w:p w14:paraId="2516E8FB" w14:textId="77777777" w:rsidR="0057062E" w:rsidRDefault="0057062E" w:rsidP="00C462DB">
      <w:pPr>
        <w:spacing w:before="120"/>
        <w:jc w:val="both"/>
        <w:rPr>
          <w:rFonts w:ascii="Arial" w:eastAsia="Times New Roman" w:hAnsi="Arial" w:cs="Arial"/>
          <w:szCs w:val="28"/>
        </w:rPr>
      </w:pPr>
      <w:r>
        <w:rPr>
          <w:rFonts w:ascii="Arial" w:eastAsia="Times New Roman" w:hAnsi="Arial" w:cs="Arial"/>
          <w:szCs w:val="28"/>
        </w:rPr>
        <w:t>Advancements in analytical technology</w:t>
      </w:r>
      <w:r w:rsidR="00636BE3">
        <w:rPr>
          <w:rFonts w:ascii="Arial" w:eastAsia="Times New Roman" w:hAnsi="Arial" w:cs="Arial"/>
          <w:szCs w:val="28"/>
        </w:rPr>
        <w:t xml:space="preserve">, in particular </w:t>
      </w:r>
      <w:r>
        <w:rPr>
          <w:rFonts w:ascii="Arial" w:eastAsia="Times New Roman" w:hAnsi="Arial" w:cs="Arial"/>
          <w:szCs w:val="28"/>
        </w:rPr>
        <w:t xml:space="preserve">mass </w:t>
      </w:r>
      <w:r w:rsidR="00636BE3">
        <w:rPr>
          <w:rFonts w:ascii="Arial" w:eastAsia="Times New Roman" w:hAnsi="Arial" w:cs="Arial"/>
          <w:szCs w:val="28"/>
        </w:rPr>
        <w:t>spectrometry</w:t>
      </w:r>
      <w:r w:rsidR="00AA3FF4">
        <w:rPr>
          <w:rFonts w:ascii="Arial" w:eastAsia="Times New Roman" w:hAnsi="Arial" w:cs="Arial"/>
          <w:szCs w:val="28"/>
        </w:rPr>
        <w:t xml:space="preserve">, </w:t>
      </w:r>
      <w:r w:rsidR="00F734B9">
        <w:rPr>
          <w:rFonts w:ascii="Arial" w:eastAsia="Times New Roman" w:hAnsi="Arial" w:cs="Arial"/>
          <w:szCs w:val="28"/>
        </w:rPr>
        <w:t>have</w:t>
      </w:r>
      <w:r>
        <w:rPr>
          <w:rFonts w:ascii="Arial" w:eastAsia="Times New Roman" w:hAnsi="Arial" w:cs="Arial"/>
          <w:szCs w:val="28"/>
        </w:rPr>
        <w:t xml:space="preserve"> led to the </w:t>
      </w:r>
      <w:r w:rsidR="00636BE3">
        <w:rPr>
          <w:rFonts w:ascii="Arial" w:eastAsia="Times New Roman" w:hAnsi="Arial" w:cs="Arial"/>
          <w:szCs w:val="28"/>
        </w:rPr>
        <w:t>development of methods to measure numerous different analytes in dried blood spots (measurement of over 2000 different DBS assays reported in the literature).</w:t>
      </w:r>
      <w:r>
        <w:rPr>
          <w:rFonts w:ascii="Arial" w:eastAsia="Times New Roman" w:hAnsi="Arial" w:cs="Arial"/>
          <w:szCs w:val="28"/>
        </w:rPr>
        <w:t xml:space="preserve"> </w:t>
      </w:r>
      <w:r w:rsidR="00636BE3">
        <w:rPr>
          <w:rFonts w:ascii="Arial" w:eastAsia="Times New Roman" w:hAnsi="Arial" w:cs="Arial"/>
          <w:szCs w:val="28"/>
        </w:rPr>
        <w:t xml:space="preserve"> </w:t>
      </w:r>
      <w:r w:rsidR="00390B6A">
        <w:rPr>
          <w:rFonts w:ascii="Arial" w:eastAsia="Times New Roman" w:hAnsi="Arial" w:cs="Arial"/>
          <w:szCs w:val="28"/>
        </w:rPr>
        <w:t xml:space="preserve">DBS </w:t>
      </w:r>
      <w:r w:rsidRPr="0057062E">
        <w:rPr>
          <w:rFonts w:ascii="Arial" w:eastAsia="Times New Roman" w:hAnsi="Arial" w:cs="Arial"/>
          <w:szCs w:val="28"/>
        </w:rPr>
        <w:t>analysis</w:t>
      </w:r>
      <w:r>
        <w:rPr>
          <w:rFonts w:ascii="Arial" w:eastAsia="Times New Roman" w:hAnsi="Arial" w:cs="Arial"/>
          <w:b/>
          <w:szCs w:val="28"/>
        </w:rPr>
        <w:t xml:space="preserve"> </w:t>
      </w:r>
      <w:r w:rsidR="00636BE3">
        <w:rPr>
          <w:rFonts w:ascii="Arial" w:eastAsia="Times New Roman" w:hAnsi="Arial" w:cs="Arial"/>
          <w:szCs w:val="28"/>
        </w:rPr>
        <w:t>offers clear advantages for p</w:t>
      </w:r>
      <w:r>
        <w:rPr>
          <w:rFonts w:ascii="Arial" w:eastAsia="Times New Roman" w:hAnsi="Arial" w:cs="Arial"/>
          <w:szCs w:val="28"/>
        </w:rPr>
        <w:t>atient care including minimally invasive samp</w:t>
      </w:r>
      <w:r w:rsidR="00636BE3">
        <w:rPr>
          <w:rFonts w:ascii="Arial" w:eastAsia="Times New Roman" w:hAnsi="Arial" w:cs="Arial"/>
          <w:szCs w:val="28"/>
        </w:rPr>
        <w:t>ling, small sample volume</w:t>
      </w:r>
      <w:r w:rsidR="00F734B9">
        <w:rPr>
          <w:rFonts w:ascii="Arial" w:eastAsia="Times New Roman" w:hAnsi="Arial" w:cs="Arial"/>
          <w:szCs w:val="28"/>
        </w:rPr>
        <w:t>s</w:t>
      </w:r>
      <w:r w:rsidR="00636BE3">
        <w:rPr>
          <w:rFonts w:ascii="Arial" w:eastAsia="Times New Roman" w:hAnsi="Arial" w:cs="Arial"/>
          <w:szCs w:val="28"/>
        </w:rPr>
        <w:t xml:space="preserve">, simple logistics and sample storage, </w:t>
      </w:r>
      <w:r w:rsidR="00AA3FF4">
        <w:rPr>
          <w:rFonts w:ascii="Arial" w:eastAsia="Times New Roman" w:hAnsi="Arial" w:cs="Arial"/>
          <w:szCs w:val="28"/>
        </w:rPr>
        <w:t xml:space="preserve">potential </w:t>
      </w:r>
      <w:r w:rsidR="00636BE3">
        <w:rPr>
          <w:rFonts w:ascii="Arial" w:eastAsia="Times New Roman" w:hAnsi="Arial" w:cs="Arial"/>
          <w:szCs w:val="28"/>
        </w:rPr>
        <w:t xml:space="preserve">cost efficiencies </w:t>
      </w:r>
      <w:r w:rsidR="00F734B9">
        <w:rPr>
          <w:rFonts w:ascii="Arial" w:eastAsia="Times New Roman" w:hAnsi="Arial" w:cs="Arial"/>
          <w:szCs w:val="28"/>
        </w:rPr>
        <w:t xml:space="preserve">and </w:t>
      </w:r>
      <w:r w:rsidR="00AA3FF4">
        <w:rPr>
          <w:rFonts w:ascii="Arial" w:eastAsia="Times New Roman" w:hAnsi="Arial" w:cs="Arial"/>
          <w:szCs w:val="28"/>
        </w:rPr>
        <w:t>the opportunity</w:t>
      </w:r>
      <w:r w:rsidR="00636BE3">
        <w:rPr>
          <w:rFonts w:ascii="Arial" w:eastAsia="Times New Roman" w:hAnsi="Arial" w:cs="Arial"/>
          <w:szCs w:val="28"/>
        </w:rPr>
        <w:t xml:space="preserve"> for patients to collect their own sample</w:t>
      </w:r>
      <w:r w:rsidR="00A409AB">
        <w:rPr>
          <w:rFonts w:ascii="Arial" w:eastAsia="Times New Roman" w:hAnsi="Arial" w:cs="Arial"/>
          <w:szCs w:val="28"/>
        </w:rPr>
        <w:t>s and post them to the laboratory.</w:t>
      </w:r>
    </w:p>
    <w:p w14:paraId="7AF498BB" w14:textId="77777777" w:rsidR="00AA3FF4" w:rsidRPr="0057062E" w:rsidRDefault="00AA3FF4" w:rsidP="00C462DB">
      <w:pPr>
        <w:spacing w:before="120"/>
        <w:jc w:val="both"/>
        <w:rPr>
          <w:rFonts w:ascii="Arial" w:eastAsia="Times New Roman" w:hAnsi="Arial" w:cs="Arial"/>
          <w:b/>
          <w:szCs w:val="28"/>
        </w:rPr>
      </w:pPr>
      <w:r>
        <w:rPr>
          <w:rFonts w:ascii="Arial" w:eastAsia="Times New Roman" w:hAnsi="Arial" w:cs="Arial"/>
          <w:szCs w:val="28"/>
        </w:rPr>
        <w:t>There are however many factors that need to be considered in order to optimise the quality of blood spot analysis to ensure accurate, reliable and clinically applicable results which were highlighted by all speakers and are summarised below:</w:t>
      </w:r>
    </w:p>
    <w:p w14:paraId="14943CF1" w14:textId="77777777" w:rsidR="00C462DB" w:rsidRDefault="00C462DB" w:rsidP="00AA3FF4">
      <w:pPr>
        <w:spacing w:before="120"/>
        <w:jc w:val="both"/>
        <w:rPr>
          <w:rFonts w:ascii="Arial" w:eastAsia="Times New Roman" w:hAnsi="Arial" w:cs="Arial"/>
          <w:i/>
          <w:szCs w:val="28"/>
        </w:rPr>
      </w:pPr>
      <w:r>
        <w:rPr>
          <w:rFonts w:ascii="Arial" w:eastAsia="Times New Roman" w:hAnsi="Arial" w:cs="Arial"/>
          <w:b/>
          <w:szCs w:val="28"/>
        </w:rPr>
        <w:t xml:space="preserve"> </w:t>
      </w:r>
    </w:p>
    <w:p w14:paraId="15F29889" w14:textId="77777777" w:rsidR="00581198" w:rsidRDefault="00E07135" w:rsidP="008B54CB">
      <w:pPr>
        <w:pStyle w:val="ListParagraph"/>
        <w:numPr>
          <w:ilvl w:val="0"/>
          <w:numId w:val="23"/>
        </w:numPr>
        <w:spacing w:after="120"/>
        <w:jc w:val="both"/>
        <w:rPr>
          <w:rFonts w:ascii="Arial" w:eastAsia="Times New Roman" w:hAnsi="Arial" w:cs="Arial"/>
          <w:szCs w:val="28"/>
        </w:rPr>
      </w:pPr>
      <w:r w:rsidRPr="00AA3FF4">
        <w:rPr>
          <w:rFonts w:ascii="Arial" w:eastAsia="Times New Roman" w:hAnsi="Arial" w:cs="Arial"/>
          <w:szCs w:val="28"/>
        </w:rPr>
        <w:t>The perceived benefit of DBS for testing is dependent upon the assumption that a sub-punch of a defined volume can be obtained from a DBS from a non-volumetrically applied blood sample.</w:t>
      </w:r>
    </w:p>
    <w:p w14:paraId="16D26EFA" w14:textId="77777777" w:rsidR="008B54CB" w:rsidRPr="008B54CB" w:rsidRDefault="008B54CB" w:rsidP="008B54CB">
      <w:pPr>
        <w:pStyle w:val="ListParagraph"/>
        <w:spacing w:after="120"/>
        <w:jc w:val="both"/>
        <w:rPr>
          <w:rFonts w:ascii="Arial" w:eastAsia="Times New Roman" w:hAnsi="Arial" w:cs="Arial"/>
          <w:szCs w:val="28"/>
        </w:rPr>
      </w:pPr>
    </w:p>
    <w:p w14:paraId="21F830EF" w14:textId="77777777" w:rsidR="00E53F71" w:rsidRDefault="00E07135" w:rsidP="00E53F71">
      <w:pPr>
        <w:pStyle w:val="ListParagraph"/>
        <w:numPr>
          <w:ilvl w:val="0"/>
          <w:numId w:val="23"/>
        </w:numPr>
        <w:spacing w:after="120"/>
        <w:jc w:val="both"/>
        <w:rPr>
          <w:rFonts w:ascii="Arial" w:eastAsia="Times New Roman" w:hAnsi="Arial" w:cs="Arial"/>
          <w:szCs w:val="28"/>
        </w:rPr>
      </w:pPr>
      <w:r w:rsidRPr="00E53F71">
        <w:rPr>
          <w:rFonts w:ascii="Arial" w:eastAsia="Times New Roman" w:hAnsi="Arial" w:cs="Arial"/>
          <w:szCs w:val="28"/>
        </w:rPr>
        <w:t>Pre-analytical</w:t>
      </w:r>
      <w:r w:rsidR="00E53F71" w:rsidRPr="00E53F71">
        <w:rPr>
          <w:rFonts w:ascii="Arial" w:eastAsia="Times New Roman" w:hAnsi="Arial" w:cs="Arial"/>
          <w:szCs w:val="28"/>
        </w:rPr>
        <w:t xml:space="preserve"> factors</w:t>
      </w:r>
    </w:p>
    <w:p w14:paraId="4979F892" w14:textId="77777777" w:rsidR="00E53F71" w:rsidRDefault="00E53F71" w:rsidP="00E53F71">
      <w:pPr>
        <w:pStyle w:val="ListParagraph"/>
        <w:numPr>
          <w:ilvl w:val="1"/>
          <w:numId w:val="23"/>
        </w:numPr>
        <w:spacing w:after="120"/>
        <w:jc w:val="both"/>
        <w:rPr>
          <w:rFonts w:ascii="Arial" w:eastAsia="Times New Roman" w:hAnsi="Arial" w:cs="Arial"/>
          <w:szCs w:val="28"/>
        </w:rPr>
      </w:pPr>
      <w:r w:rsidRPr="00E53F71">
        <w:rPr>
          <w:rFonts w:ascii="Arial" w:eastAsia="Times New Roman" w:hAnsi="Arial" w:cs="Arial"/>
          <w:szCs w:val="28"/>
        </w:rPr>
        <w:t>DBS collection devices (defined as Class II Medical devices)</w:t>
      </w:r>
      <w:r>
        <w:rPr>
          <w:rFonts w:ascii="Arial" w:eastAsia="Times New Roman" w:hAnsi="Arial" w:cs="Arial"/>
          <w:szCs w:val="28"/>
        </w:rPr>
        <w:t xml:space="preserve"> are required</w:t>
      </w:r>
      <w:r w:rsidRPr="00E53F71">
        <w:rPr>
          <w:rFonts w:ascii="Arial" w:eastAsia="Times New Roman" w:hAnsi="Arial" w:cs="Arial"/>
          <w:szCs w:val="28"/>
        </w:rPr>
        <w:t xml:space="preserve"> with defined performance criteria of filter paper (CLS</w:t>
      </w:r>
      <w:r w:rsidR="00A409AB">
        <w:rPr>
          <w:rFonts w:ascii="Arial" w:eastAsia="Times New Roman" w:hAnsi="Arial" w:cs="Arial"/>
          <w:szCs w:val="28"/>
        </w:rPr>
        <w:t>I</w:t>
      </w:r>
      <w:r w:rsidRPr="00E53F71">
        <w:rPr>
          <w:rFonts w:ascii="Arial" w:eastAsia="Times New Roman" w:hAnsi="Arial" w:cs="Arial"/>
          <w:szCs w:val="28"/>
        </w:rPr>
        <w:t xml:space="preserve"> NBS01) – new devices </w:t>
      </w:r>
      <w:r w:rsidR="00FD5BD6">
        <w:rPr>
          <w:rFonts w:ascii="Arial" w:eastAsia="Times New Roman" w:hAnsi="Arial" w:cs="Arial"/>
          <w:szCs w:val="28"/>
        </w:rPr>
        <w:t xml:space="preserve">are </w:t>
      </w:r>
      <w:r w:rsidR="0083699D">
        <w:rPr>
          <w:rFonts w:ascii="Arial" w:eastAsia="Times New Roman" w:hAnsi="Arial" w:cs="Arial"/>
          <w:szCs w:val="28"/>
        </w:rPr>
        <w:t xml:space="preserve">now </w:t>
      </w:r>
      <w:r w:rsidRPr="00E53F71">
        <w:rPr>
          <w:rFonts w:ascii="Arial" w:eastAsia="Times New Roman" w:hAnsi="Arial" w:cs="Arial"/>
          <w:szCs w:val="28"/>
        </w:rPr>
        <w:t xml:space="preserve">on the market (see later) </w:t>
      </w:r>
    </w:p>
    <w:p w14:paraId="6741D845" w14:textId="77777777" w:rsidR="00E53F71" w:rsidRDefault="00E53F71" w:rsidP="00E53F71">
      <w:pPr>
        <w:pStyle w:val="ListParagraph"/>
        <w:numPr>
          <w:ilvl w:val="1"/>
          <w:numId w:val="23"/>
        </w:numPr>
        <w:spacing w:after="120"/>
        <w:jc w:val="both"/>
        <w:rPr>
          <w:rFonts w:ascii="Arial" w:eastAsia="Times New Roman" w:hAnsi="Arial" w:cs="Arial"/>
          <w:szCs w:val="28"/>
        </w:rPr>
      </w:pPr>
      <w:r w:rsidRPr="00E53F71">
        <w:rPr>
          <w:rFonts w:ascii="Arial" w:eastAsia="Times New Roman" w:hAnsi="Arial" w:cs="Arial"/>
          <w:szCs w:val="28"/>
        </w:rPr>
        <w:t>DBS sample collection (guidance CLSI NBS01-A6)</w:t>
      </w:r>
      <w:r>
        <w:rPr>
          <w:rFonts w:ascii="Arial" w:eastAsia="Times New Roman" w:hAnsi="Arial" w:cs="Arial"/>
          <w:szCs w:val="28"/>
        </w:rPr>
        <w:t xml:space="preserve"> </w:t>
      </w:r>
      <w:r w:rsidRPr="00E53F71">
        <w:rPr>
          <w:rFonts w:ascii="Arial" w:eastAsia="Times New Roman" w:hAnsi="Arial" w:cs="Arial"/>
          <w:szCs w:val="28"/>
        </w:rPr>
        <w:t xml:space="preserve">&amp; blood spot quality </w:t>
      </w:r>
      <w:r>
        <w:rPr>
          <w:rFonts w:ascii="Arial" w:eastAsia="Times New Roman" w:hAnsi="Arial" w:cs="Arial"/>
          <w:szCs w:val="28"/>
        </w:rPr>
        <w:t xml:space="preserve">have a significant influence on the accuracy of results </w:t>
      </w:r>
      <w:r w:rsidRPr="00E53F71">
        <w:rPr>
          <w:rFonts w:ascii="Arial" w:eastAsia="Times New Roman" w:hAnsi="Arial" w:cs="Arial"/>
          <w:szCs w:val="28"/>
        </w:rPr>
        <w:t xml:space="preserve">– issues include sample volume, multi-spotting &amp; compression – standardised acceptance criteria </w:t>
      </w:r>
      <w:r>
        <w:rPr>
          <w:rFonts w:ascii="Arial" w:eastAsia="Times New Roman" w:hAnsi="Arial" w:cs="Arial"/>
          <w:szCs w:val="28"/>
        </w:rPr>
        <w:t xml:space="preserve">are </w:t>
      </w:r>
      <w:r w:rsidRPr="00E53F71">
        <w:rPr>
          <w:rFonts w:ascii="Arial" w:eastAsia="Times New Roman" w:hAnsi="Arial" w:cs="Arial"/>
          <w:szCs w:val="28"/>
        </w:rPr>
        <w:t xml:space="preserve">essential </w:t>
      </w:r>
    </w:p>
    <w:p w14:paraId="6412CA19" w14:textId="77777777" w:rsidR="00E53F71" w:rsidRDefault="00E53F71" w:rsidP="00E53F71">
      <w:pPr>
        <w:pStyle w:val="ListParagraph"/>
        <w:numPr>
          <w:ilvl w:val="1"/>
          <w:numId w:val="23"/>
        </w:numPr>
        <w:spacing w:after="120"/>
        <w:jc w:val="both"/>
        <w:rPr>
          <w:rFonts w:ascii="Arial" w:eastAsia="Times New Roman" w:hAnsi="Arial" w:cs="Arial"/>
          <w:szCs w:val="28"/>
        </w:rPr>
      </w:pPr>
      <w:r w:rsidRPr="00E53F71">
        <w:rPr>
          <w:rFonts w:ascii="Arial" w:eastAsia="Times New Roman" w:hAnsi="Arial" w:cs="Arial"/>
          <w:szCs w:val="28"/>
        </w:rPr>
        <w:t>Training of sample takers</w:t>
      </w:r>
      <w:r w:rsidR="00A409AB">
        <w:rPr>
          <w:rFonts w:ascii="Arial" w:eastAsia="Times New Roman" w:hAnsi="Arial" w:cs="Arial"/>
          <w:szCs w:val="28"/>
        </w:rPr>
        <w:t xml:space="preserve"> (including patients/carers)</w:t>
      </w:r>
      <w:r w:rsidRPr="00E53F71">
        <w:rPr>
          <w:rFonts w:ascii="Arial" w:eastAsia="Times New Roman" w:hAnsi="Arial" w:cs="Arial"/>
          <w:szCs w:val="28"/>
        </w:rPr>
        <w:t xml:space="preserve"> and maintaining competency</w:t>
      </w:r>
      <w:r w:rsidR="00FD5BD6">
        <w:rPr>
          <w:rFonts w:ascii="Arial" w:eastAsia="Times New Roman" w:hAnsi="Arial" w:cs="Arial"/>
          <w:szCs w:val="28"/>
        </w:rPr>
        <w:t xml:space="preserve"> is</w:t>
      </w:r>
      <w:r w:rsidRPr="00E53F71">
        <w:rPr>
          <w:rFonts w:ascii="Arial" w:eastAsia="Times New Roman" w:hAnsi="Arial" w:cs="Arial"/>
          <w:szCs w:val="28"/>
        </w:rPr>
        <w:t xml:space="preserve"> crucial. </w:t>
      </w:r>
    </w:p>
    <w:p w14:paraId="3FE004A9" w14:textId="77777777" w:rsidR="00E53F71" w:rsidRPr="00DE75DB" w:rsidRDefault="00E53F71" w:rsidP="00DE75DB">
      <w:pPr>
        <w:pStyle w:val="ListParagraph"/>
        <w:numPr>
          <w:ilvl w:val="1"/>
          <w:numId w:val="23"/>
        </w:numPr>
        <w:spacing w:after="120"/>
        <w:jc w:val="both"/>
        <w:rPr>
          <w:rFonts w:ascii="Arial" w:eastAsia="Times New Roman" w:hAnsi="Arial" w:cs="Arial"/>
          <w:szCs w:val="28"/>
        </w:rPr>
      </w:pPr>
      <w:r w:rsidRPr="00E53F71">
        <w:rPr>
          <w:rFonts w:ascii="Arial" w:eastAsia="Times New Roman" w:hAnsi="Arial" w:cs="Arial"/>
          <w:szCs w:val="28"/>
        </w:rPr>
        <w:t>Blood spot storage conditions including during transport to the lab (temperature, humidity)</w:t>
      </w:r>
      <w:r w:rsidR="00FD5BD6">
        <w:rPr>
          <w:rFonts w:ascii="Arial" w:eastAsia="Times New Roman" w:hAnsi="Arial" w:cs="Arial"/>
          <w:szCs w:val="28"/>
        </w:rPr>
        <w:t>,</w:t>
      </w:r>
      <w:r>
        <w:rPr>
          <w:rFonts w:ascii="Arial" w:eastAsia="Times New Roman" w:hAnsi="Arial" w:cs="Arial"/>
          <w:szCs w:val="28"/>
        </w:rPr>
        <w:t xml:space="preserve"> can significantly affect results</w:t>
      </w:r>
      <w:r w:rsidRPr="00E53F71">
        <w:rPr>
          <w:rFonts w:ascii="Arial" w:eastAsia="Times New Roman" w:hAnsi="Arial" w:cs="Arial"/>
          <w:szCs w:val="28"/>
        </w:rPr>
        <w:t xml:space="preserve"> – see presentation</w:t>
      </w:r>
      <w:r>
        <w:rPr>
          <w:rFonts w:ascii="Arial" w:eastAsia="Times New Roman" w:hAnsi="Arial" w:cs="Arial"/>
          <w:szCs w:val="28"/>
        </w:rPr>
        <w:t>s</w:t>
      </w:r>
      <w:r w:rsidRPr="00E53F71">
        <w:rPr>
          <w:rFonts w:ascii="Arial" w:eastAsia="Times New Roman" w:hAnsi="Arial" w:cs="Arial"/>
          <w:szCs w:val="28"/>
        </w:rPr>
        <w:t xml:space="preserve"> for stability data.</w:t>
      </w:r>
    </w:p>
    <w:p w14:paraId="101FB099" w14:textId="77777777" w:rsidR="00E53F71" w:rsidRDefault="00E53F71" w:rsidP="00E53F71">
      <w:pPr>
        <w:pStyle w:val="ListParagraph"/>
        <w:numPr>
          <w:ilvl w:val="0"/>
          <w:numId w:val="23"/>
        </w:numPr>
        <w:spacing w:after="120"/>
        <w:jc w:val="both"/>
        <w:rPr>
          <w:rFonts w:ascii="Arial" w:eastAsia="Times New Roman" w:hAnsi="Arial" w:cs="Arial"/>
          <w:szCs w:val="28"/>
        </w:rPr>
      </w:pPr>
      <w:r w:rsidRPr="00E53F71">
        <w:rPr>
          <w:rFonts w:ascii="Arial" w:eastAsia="Times New Roman" w:hAnsi="Arial" w:cs="Arial"/>
          <w:szCs w:val="28"/>
        </w:rPr>
        <w:t>Analytical</w:t>
      </w:r>
    </w:p>
    <w:p w14:paraId="2AC691F5" w14:textId="77777777" w:rsidR="00E53F71" w:rsidRDefault="00E53F71" w:rsidP="00E53F71">
      <w:pPr>
        <w:pStyle w:val="ListParagraph"/>
        <w:numPr>
          <w:ilvl w:val="1"/>
          <w:numId w:val="23"/>
        </w:numPr>
        <w:spacing w:after="120"/>
        <w:jc w:val="both"/>
        <w:rPr>
          <w:rFonts w:ascii="Arial" w:eastAsia="Times New Roman" w:hAnsi="Arial" w:cs="Arial"/>
          <w:szCs w:val="28"/>
        </w:rPr>
      </w:pPr>
      <w:r w:rsidRPr="00E53F71">
        <w:rPr>
          <w:rFonts w:ascii="Arial" w:eastAsia="Times New Roman" w:hAnsi="Arial" w:cs="Arial"/>
          <w:szCs w:val="28"/>
        </w:rPr>
        <w:t>Results are significantly influenced by blood spot volume</w:t>
      </w:r>
      <w:r>
        <w:rPr>
          <w:rFonts w:ascii="Arial" w:eastAsia="Times New Roman" w:hAnsi="Arial" w:cs="Arial"/>
          <w:szCs w:val="28"/>
        </w:rPr>
        <w:t>,</w:t>
      </w:r>
      <w:r w:rsidRPr="00E53F71">
        <w:rPr>
          <w:rFonts w:ascii="Arial" w:eastAsia="Times New Roman" w:hAnsi="Arial" w:cs="Arial"/>
          <w:szCs w:val="28"/>
        </w:rPr>
        <w:t xml:space="preserve"> haematocrit, punch size &amp; </w:t>
      </w:r>
      <w:r>
        <w:rPr>
          <w:rFonts w:ascii="Arial" w:eastAsia="Times New Roman" w:hAnsi="Arial" w:cs="Arial"/>
          <w:szCs w:val="28"/>
        </w:rPr>
        <w:t>punch location.</w:t>
      </w:r>
    </w:p>
    <w:p w14:paraId="1EDA3C92" w14:textId="77777777" w:rsidR="00E53F71" w:rsidRPr="00E53F71" w:rsidRDefault="00FD5BD6" w:rsidP="00E53F71">
      <w:pPr>
        <w:pStyle w:val="ListParagraph"/>
        <w:numPr>
          <w:ilvl w:val="1"/>
          <w:numId w:val="23"/>
        </w:numPr>
        <w:spacing w:after="120"/>
        <w:jc w:val="both"/>
        <w:rPr>
          <w:rFonts w:ascii="Arial" w:eastAsia="Times New Roman" w:hAnsi="Arial" w:cs="Arial"/>
          <w:szCs w:val="28"/>
        </w:rPr>
      </w:pPr>
      <w:r>
        <w:rPr>
          <w:rFonts w:ascii="Arial" w:eastAsia="Times New Roman" w:hAnsi="Arial" w:cs="Arial"/>
          <w:szCs w:val="28"/>
        </w:rPr>
        <w:t>Results are a</w:t>
      </w:r>
      <w:r w:rsidR="00390B6A">
        <w:rPr>
          <w:rFonts w:ascii="Arial" w:eastAsia="Times New Roman" w:hAnsi="Arial" w:cs="Arial"/>
          <w:szCs w:val="28"/>
        </w:rPr>
        <w:t xml:space="preserve">lso affected by the </w:t>
      </w:r>
      <w:r w:rsidR="00E53F71" w:rsidRPr="00E53F71">
        <w:rPr>
          <w:rFonts w:ascii="Arial" w:eastAsia="Times New Roman" w:hAnsi="Arial" w:cs="Arial"/>
          <w:szCs w:val="28"/>
        </w:rPr>
        <w:t xml:space="preserve">quality of analyte extraction, choice of internal standard &amp; methods of calibration. </w:t>
      </w:r>
      <w:r w:rsidR="001A7E38">
        <w:rPr>
          <w:rFonts w:ascii="Arial" w:eastAsia="Times New Roman" w:hAnsi="Arial" w:cs="Arial"/>
          <w:szCs w:val="28"/>
        </w:rPr>
        <w:t>There are no</w:t>
      </w:r>
      <w:r w:rsidR="00E53F71" w:rsidRPr="00E53F71">
        <w:rPr>
          <w:rFonts w:ascii="Arial" w:eastAsia="Times New Roman" w:hAnsi="Arial" w:cs="Arial"/>
          <w:szCs w:val="28"/>
        </w:rPr>
        <w:t xml:space="preserve"> </w:t>
      </w:r>
      <w:r w:rsidR="00DE75DB">
        <w:rPr>
          <w:rFonts w:ascii="Arial" w:eastAsia="Times New Roman" w:hAnsi="Arial" w:cs="Arial"/>
          <w:szCs w:val="28"/>
        </w:rPr>
        <w:t xml:space="preserve">matrix matched </w:t>
      </w:r>
      <w:r w:rsidR="00E53F71" w:rsidRPr="00E53F71">
        <w:rPr>
          <w:rFonts w:ascii="Arial" w:eastAsia="Times New Roman" w:hAnsi="Arial" w:cs="Arial"/>
          <w:szCs w:val="28"/>
        </w:rPr>
        <w:t>certified reference material</w:t>
      </w:r>
      <w:r w:rsidR="001A7E38">
        <w:rPr>
          <w:rFonts w:ascii="Arial" w:eastAsia="Times New Roman" w:hAnsi="Arial" w:cs="Arial"/>
          <w:szCs w:val="28"/>
        </w:rPr>
        <w:t>s</w:t>
      </w:r>
      <w:r w:rsidR="00E53F71" w:rsidRPr="00E53F71">
        <w:rPr>
          <w:rFonts w:ascii="Arial" w:eastAsia="Times New Roman" w:hAnsi="Arial" w:cs="Arial"/>
          <w:szCs w:val="28"/>
        </w:rPr>
        <w:t xml:space="preserve"> </w:t>
      </w:r>
      <w:r w:rsidR="00390B6A">
        <w:rPr>
          <w:rFonts w:ascii="Arial" w:eastAsia="Times New Roman" w:hAnsi="Arial" w:cs="Arial"/>
          <w:szCs w:val="28"/>
        </w:rPr>
        <w:t xml:space="preserve">(CRM) </w:t>
      </w:r>
      <w:r w:rsidR="001A7E38">
        <w:rPr>
          <w:rFonts w:ascii="Arial" w:eastAsia="Times New Roman" w:hAnsi="Arial" w:cs="Arial"/>
          <w:szCs w:val="28"/>
        </w:rPr>
        <w:t xml:space="preserve">available </w:t>
      </w:r>
      <w:r w:rsidR="00E53F71" w:rsidRPr="00E53F71">
        <w:rPr>
          <w:rFonts w:ascii="Arial" w:eastAsia="Times New Roman" w:hAnsi="Arial" w:cs="Arial"/>
          <w:szCs w:val="28"/>
        </w:rPr>
        <w:t>for DBS assays</w:t>
      </w:r>
    </w:p>
    <w:p w14:paraId="35527B57" w14:textId="77777777" w:rsidR="00DE75DB" w:rsidRDefault="00E53F71" w:rsidP="00DE75DB">
      <w:pPr>
        <w:pStyle w:val="ListParagraph"/>
        <w:numPr>
          <w:ilvl w:val="1"/>
          <w:numId w:val="23"/>
        </w:numPr>
        <w:spacing w:after="120"/>
        <w:jc w:val="both"/>
        <w:rPr>
          <w:rFonts w:ascii="Arial" w:eastAsia="Times New Roman" w:hAnsi="Arial" w:cs="Arial"/>
          <w:szCs w:val="28"/>
        </w:rPr>
      </w:pPr>
      <w:r w:rsidRPr="00E53F71">
        <w:rPr>
          <w:rFonts w:ascii="Arial" w:eastAsia="Times New Roman" w:hAnsi="Arial" w:cs="Arial"/>
          <w:szCs w:val="28"/>
        </w:rPr>
        <w:t>IQC material for DBS analysis and EQA schemes are very limited</w:t>
      </w:r>
      <w:r w:rsidR="001A7E38">
        <w:rPr>
          <w:rFonts w:ascii="Arial" w:eastAsia="Times New Roman" w:hAnsi="Arial" w:cs="Arial"/>
          <w:szCs w:val="28"/>
        </w:rPr>
        <w:t xml:space="preserve"> in terms of the number of analytes included and the</w:t>
      </w:r>
      <w:r w:rsidR="00DE75DB">
        <w:rPr>
          <w:rFonts w:ascii="Arial" w:eastAsia="Times New Roman" w:hAnsi="Arial" w:cs="Arial"/>
          <w:szCs w:val="28"/>
        </w:rPr>
        <w:t xml:space="preserve"> frequency of distributions.</w:t>
      </w:r>
      <w:r w:rsidR="00390B6A">
        <w:rPr>
          <w:rFonts w:ascii="Arial" w:eastAsia="Times New Roman" w:hAnsi="Arial" w:cs="Arial"/>
          <w:szCs w:val="28"/>
        </w:rPr>
        <w:t xml:space="preserve"> </w:t>
      </w:r>
    </w:p>
    <w:p w14:paraId="38528B54" w14:textId="77777777" w:rsidR="00DE75DB" w:rsidRDefault="00DE75DB" w:rsidP="00DE75DB">
      <w:pPr>
        <w:pStyle w:val="ListParagraph"/>
        <w:numPr>
          <w:ilvl w:val="1"/>
          <w:numId w:val="23"/>
        </w:numPr>
        <w:spacing w:after="120"/>
        <w:jc w:val="both"/>
        <w:rPr>
          <w:rFonts w:ascii="Arial" w:eastAsia="Times New Roman" w:hAnsi="Arial" w:cs="Arial"/>
          <w:szCs w:val="28"/>
        </w:rPr>
      </w:pPr>
      <w:r w:rsidRPr="00DE75DB">
        <w:rPr>
          <w:rFonts w:ascii="Arial" w:eastAsia="Times New Roman" w:hAnsi="Arial" w:cs="Arial"/>
          <w:szCs w:val="28"/>
        </w:rPr>
        <w:t>Multiple analytical methodologies</w:t>
      </w:r>
      <w:r w:rsidR="00FA1D58">
        <w:rPr>
          <w:rFonts w:ascii="Arial" w:eastAsia="Times New Roman" w:hAnsi="Arial" w:cs="Arial"/>
          <w:szCs w:val="28"/>
        </w:rPr>
        <w:t xml:space="preserve"> for amino acid analysis</w:t>
      </w:r>
      <w:r w:rsidR="00390B6A">
        <w:rPr>
          <w:rFonts w:ascii="Arial" w:eastAsia="Times New Roman" w:hAnsi="Arial" w:cs="Arial"/>
          <w:szCs w:val="28"/>
        </w:rPr>
        <w:t xml:space="preserve"> are</w:t>
      </w:r>
      <w:r w:rsidR="00FA1D58">
        <w:rPr>
          <w:rFonts w:ascii="Arial" w:eastAsia="Times New Roman" w:hAnsi="Arial" w:cs="Arial"/>
          <w:szCs w:val="28"/>
        </w:rPr>
        <w:t xml:space="preserve"> </w:t>
      </w:r>
      <w:r w:rsidRPr="00DE75DB">
        <w:rPr>
          <w:rFonts w:ascii="Arial" w:eastAsia="Times New Roman" w:hAnsi="Arial" w:cs="Arial"/>
          <w:szCs w:val="28"/>
        </w:rPr>
        <w:t>in use</w:t>
      </w:r>
      <w:r w:rsidR="008B54CB">
        <w:rPr>
          <w:rFonts w:ascii="Arial" w:eastAsia="Times New Roman" w:hAnsi="Arial" w:cs="Arial"/>
          <w:szCs w:val="28"/>
        </w:rPr>
        <w:t>,</w:t>
      </w:r>
      <w:r w:rsidRPr="00DE75DB">
        <w:rPr>
          <w:rFonts w:ascii="Arial" w:eastAsia="Times New Roman" w:hAnsi="Arial" w:cs="Arial"/>
          <w:szCs w:val="28"/>
        </w:rPr>
        <w:t xml:space="preserve"> </w:t>
      </w:r>
      <w:r w:rsidR="00FA1D58">
        <w:rPr>
          <w:rFonts w:ascii="Arial" w:eastAsia="Times New Roman" w:hAnsi="Arial" w:cs="Arial"/>
          <w:szCs w:val="28"/>
        </w:rPr>
        <w:t>even within the same laboratory</w:t>
      </w:r>
      <w:r w:rsidR="008B54CB">
        <w:rPr>
          <w:rFonts w:ascii="Arial" w:eastAsia="Times New Roman" w:hAnsi="Arial" w:cs="Arial"/>
          <w:szCs w:val="28"/>
        </w:rPr>
        <w:t>,</w:t>
      </w:r>
      <w:r w:rsidR="00FA1D58">
        <w:rPr>
          <w:rFonts w:ascii="Arial" w:eastAsia="Times New Roman" w:hAnsi="Arial" w:cs="Arial"/>
          <w:szCs w:val="28"/>
        </w:rPr>
        <w:t xml:space="preserve"> with</w:t>
      </w:r>
      <w:r w:rsidR="000F6272">
        <w:rPr>
          <w:rFonts w:ascii="Arial" w:eastAsia="Times New Roman" w:hAnsi="Arial" w:cs="Arial"/>
          <w:szCs w:val="28"/>
        </w:rPr>
        <w:t xml:space="preserve"> differing sensitivity, specificity and linearity</w:t>
      </w:r>
      <w:r>
        <w:rPr>
          <w:rFonts w:ascii="Arial" w:eastAsia="Times New Roman" w:hAnsi="Arial" w:cs="Arial"/>
          <w:szCs w:val="28"/>
        </w:rPr>
        <w:t>.</w:t>
      </w:r>
    </w:p>
    <w:p w14:paraId="51B7DD5F" w14:textId="77777777" w:rsidR="00E53F71" w:rsidRPr="00DE75DB" w:rsidRDefault="001A7E38" w:rsidP="00DE75DB">
      <w:pPr>
        <w:pStyle w:val="ListParagraph"/>
        <w:numPr>
          <w:ilvl w:val="1"/>
          <w:numId w:val="23"/>
        </w:numPr>
        <w:spacing w:after="120"/>
        <w:jc w:val="both"/>
        <w:rPr>
          <w:rFonts w:ascii="Arial" w:eastAsia="Times New Roman" w:hAnsi="Arial" w:cs="Arial"/>
          <w:szCs w:val="28"/>
        </w:rPr>
      </w:pPr>
      <w:r>
        <w:rPr>
          <w:rFonts w:ascii="Arial" w:eastAsia="Times New Roman" w:hAnsi="Arial" w:cs="Arial"/>
          <w:szCs w:val="28"/>
        </w:rPr>
        <w:t>As a consequence of the a</w:t>
      </w:r>
      <w:r w:rsidR="00E53F71" w:rsidRPr="00DE75DB">
        <w:rPr>
          <w:rFonts w:ascii="Arial" w:eastAsia="Times New Roman" w:hAnsi="Arial" w:cs="Arial"/>
          <w:szCs w:val="28"/>
        </w:rPr>
        <w:t xml:space="preserve">bove factors </w:t>
      </w:r>
      <w:r>
        <w:rPr>
          <w:rFonts w:ascii="Arial" w:eastAsia="Times New Roman" w:hAnsi="Arial" w:cs="Arial"/>
          <w:szCs w:val="28"/>
        </w:rPr>
        <w:t xml:space="preserve">there is </w:t>
      </w:r>
      <w:r w:rsidR="00E53F71" w:rsidRPr="00DE75DB">
        <w:rPr>
          <w:rFonts w:ascii="Arial" w:eastAsia="Times New Roman" w:hAnsi="Arial" w:cs="Arial"/>
          <w:szCs w:val="28"/>
        </w:rPr>
        <w:t xml:space="preserve">significant between-lab </w:t>
      </w:r>
      <w:r>
        <w:rPr>
          <w:rFonts w:ascii="Arial" w:eastAsia="Times New Roman" w:hAnsi="Arial" w:cs="Arial"/>
          <w:szCs w:val="28"/>
        </w:rPr>
        <w:t xml:space="preserve">analytical </w:t>
      </w:r>
      <w:r w:rsidR="00E53F71" w:rsidRPr="00DE75DB">
        <w:rPr>
          <w:rFonts w:ascii="Arial" w:eastAsia="Times New Roman" w:hAnsi="Arial" w:cs="Arial"/>
          <w:szCs w:val="28"/>
        </w:rPr>
        <w:t xml:space="preserve">variation </w:t>
      </w:r>
      <w:r w:rsidR="000F6272">
        <w:rPr>
          <w:rFonts w:ascii="Arial" w:eastAsia="Times New Roman" w:hAnsi="Arial" w:cs="Arial"/>
          <w:szCs w:val="28"/>
        </w:rPr>
        <w:t xml:space="preserve">(CVs &gt;20%) - </w:t>
      </w:r>
      <w:r w:rsidR="00E53F71" w:rsidRPr="00DE75DB">
        <w:rPr>
          <w:rFonts w:ascii="Arial" w:eastAsia="Times New Roman" w:hAnsi="Arial" w:cs="Arial"/>
          <w:szCs w:val="28"/>
        </w:rPr>
        <w:t xml:space="preserve">see </w:t>
      </w:r>
      <w:r w:rsidR="000F6272">
        <w:rPr>
          <w:rFonts w:ascii="Arial" w:eastAsia="Times New Roman" w:hAnsi="Arial" w:cs="Arial"/>
          <w:szCs w:val="28"/>
        </w:rPr>
        <w:t xml:space="preserve">presentations for ERNDIM DBS </w:t>
      </w:r>
      <w:r>
        <w:rPr>
          <w:rFonts w:ascii="Arial" w:eastAsia="Times New Roman" w:hAnsi="Arial" w:cs="Arial"/>
          <w:szCs w:val="28"/>
        </w:rPr>
        <w:t xml:space="preserve">performance </w:t>
      </w:r>
      <w:r w:rsidR="000F6272">
        <w:rPr>
          <w:rFonts w:ascii="Arial" w:eastAsia="Times New Roman" w:hAnsi="Arial" w:cs="Arial"/>
          <w:szCs w:val="28"/>
        </w:rPr>
        <w:t>data</w:t>
      </w:r>
      <w:r w:rsidR="004621E4">
        <w:rPr>
          <w:rFonts w:ascii="Arial" w:eastAsia="Times New Roman" w:hAnsi="Arial" w:cs="Arial"/>
          <w:szCs w:val="28"/>
        </w:rPr>
        <w:t xml:space="preserve">. </w:t>
      </w:r>
    </w:p>
    <w:p w14:paraId="15B466C6" w14:textId="77777777" w:rsidR="00E53F71" w:rsidRPr="00DE75DB" w:rsidRDefault="00E53F71" w:rsidP="00E53F71">
      <w:pPr>
        <w:pStyle w:val="ListParagraph"/>
        <w:numPr>
          <w:ilvl w:val="0"/>
          <w:numId w:val="23"/>
        </w:numPr>
        <w:spacing w:after="120"/>
        <w:jc w:val="both"/>
        <w:rPr>
          <w:rFonts w:ascii="Arial" w:eastAsia="Times New Roman" w:hAnsi="Arial" w:cs="Arial"/>
          <w:szCs w:val="28"/>
        </w:rPr>
      </w:pPr>
      <w:r w:rsidRPr="00DE75DB">
        <w:rPr>
          <w:rFonts w:ascii="Arial" w:eastAsia="Times New Roman" w:hAnsi="Arial" w:cs="Arial"/>
          <w:szCs w:val="28"/>
        </w:rPr>
        <w:t>Post-analytical</w:t>
      </w:r>
      <w:r w:rsidR="00DE75DB">
        <w:rPr>
          <w:rFonts w:ascii="Arial" w:eastAsia="Times New Roman" w:hAnsi="Arial" w:cs="Arial"/>
          <w:szCs w:val="28"/>
        </w:rPr>
        <w:t xml:space="preserve"> issues</w:t>
      </w:r>
    </w:p>
    <w:p w14:paraId="44D76490" w14:textId="77777777" w:rsidR="00E53F71" w:rsidRPr="00E53F71" w:rsidRDefault="00192CC2" w:rsidP="00E53F71">
      <w:pPr>
        <w:pStyle w:val="ListParagraph"/>
        <w:numPr>
          <w:ilvl w:val="1"/>
          <w:numId w:val="23"/>
        </w:numPr>
        <w:spacing w:after="120"/>
        <w:jc w:val="both"/>
        <w:rPr>
          <w:rFonts w:ascii="Arial" w:eastAsia="Times New Roman" w:hAnsi="Arial" w:cs="Arial"/>
          <w:szCs w:val="28"/>
          <w:u w:val="single"/>
        </w:rPr>
      </w:pPr>
      <w:r w:rsidRPr="00E53F71">
        <w:rPr>
          <w:rFonts w:ascii="Arial" w:eastAsia="Times New Roman" w:hAnsi="Arial" w:cs="Arial"/>
          <w:szCs w:val="28"/>
        </w:rPr>
        <w:t>Interp</w:t>
      </w:r>
      <w:r w:rsidR="00DE75DB">
        <w:rPr>
          <w:rFonts w:ascii="Arial" w:eastAsia="Times New Roman" w:hAnsi="Arial" w:cs="Arial"/>
          <w:szCs w:val="28"/>
        </w:rPr>
        <w:t xml:space="preserve">retation of DBS results </w:t>
      </w:r>
      <w:r w:rsidR="00390B6A">
        <w:rPr>
          <w:rFonts w:ascii="Arial" w:eastAsia="Times New Roman" w:hAnsi="Arial" w:cs="Arial"/>
          <w:szCs w:val="28"/>
        </w:rPr>
        <w:t xml:space="preserve">is </w:t>
      </w:r>
      <w:r w:rsidR="00DE75DB">
        <w:rPr>
          <w:rFonts w:ascii="Arial" w:eastAsia="Times New Roman" w:hAnsi="Arial" w:cs="Arial"/>
          <w:szCs w:val="28"/>
        </w:rPr>
        <w:t>a challenge</w:t>
      </w:r>
      <w:r w:rsidRPr="00E53F71">
        <w:rPr>
          <w:rFonts w:ascii="Arial" w:eastAsia="Times New Roman" w:hAnsi="Arial" w:cs="Arial"/>
          <w:szCs w:val="28"/>
        </w:rPr>
        <w:t xml:space="preserve"> as</w:t>
      </w:r>
      <w:r w:rsidR="001A7E38">
        <w:rPr>
          <w:rFonts w:ascii="Arial" w:eastAsia="Times New Roman" w:hAnsi="Arial" w:cs="Arial"/>
          <w:szCs w:val="28"/>
        </w:rPr>
        <w:t xml:space="preserve"> the availability of reference range data is limited and</w:t>
      </w:r>
      <w:r w:rsidRPr="00E53F71">
        <w:rPr>
          <w:rFonts w:ascii="Arial" w:eastAsia="Times New Roman" w:hAnsi="Arial" w:cs="Arial"/>
          <w:szCs w:val="28"/>
        </w:rPr>
        <w:t xml:space="preserve"> c</w:t>
      </w:r>
      <w:r w:rsidR="007F779E" w:rsidRPr="00E53F71">
        <w:rPr>
          <w:rFonts w:ascii="Arial" w:eastAsia="Times New Roman" w:hAnsi="Arial" w:cs="Arial"/>
          <w:szCs w:val="28"/>
        </w:rPr>
        <w:t xml:space="preserve">onsensus </w:t>
      </w:r>
      <w:r w:rsidRPr="00E53F71">
        <w:rPr>
          <w:rFonts w:ascii="Arial" w:eastAsia="Times New Roman" w:hAnsi="Arial" w:cs="Arial"/>
          <w:szCs w:val="28"/>
        </w:rPr>
        <w:t xml:space="preserve">management </w:t>
      </w:r>
      <w:r w:rsidR="007F779E" w:rsidRPr="00E53F71">
        <w:rPr>
          <w:rFonts w:ascii="Arial" w:eastAsia="Times New Roman" w:hAnsi="Arial" w:cs="Arial"/>
          <w:szCs w:val="28"/>
        </w:rPr>
        <w:t>guid</w:t>
      </w:r>
      <w:r w:rsidRPr="00E53F71">
        <w:rPr>
          <w:rFonts w:ascii="Arial" w:eastAsia="Times New Roman" w:hAnsi="Arial" w:cs="Arial"/>
          <w:szCs w:val="28"/>
        </w:rPr>
        <w:t>elines, where available (PKU, MSUD &amp; HCY)</w:t>
      </w:r>
      <w:r w:rsidR="001A7E38">
        <w:rPr>
          <w:rFonts w:ascii="Arial" w:eastAsia="Times New Roman" w:hAnsi="Arial" w:cs="Arial"/>
          <w:szCs w:val="28"/>
        </w:rPr>
        <w:t>,</w:t>
      </w:r>
      <w:r w:rsidRPr="00E53F71">
        <w:rPr>
          <w:rFonts w:ascii="Arial" w:eastAsia="Times New Roman" w:hAnsi="Arial" w:cs="Arial"/>
          <w:szCs w:val="28"/>
        </w:rPr>
        <w:t xml:space="preserve"> </w:t>
      </w:r>
      <w:r w:rsidR="00390B6A">
        <w:rPr>
          <w:rFonts w:ascii="Arial" w:eastAsia="Times New Roman" w:hAnsi="Arial" w:cs="Arial"/>
          <w:szCs w:val="28"/>
        </w:rPr>
        <w:t xml:space="preserve">largely </w:t>
      </w:r>
      <w:r w:rsidRPr="00E53F71">
        <w:rPr>
          <w:rFonts w:ascii="Arial" w:eastAsia="Times New Roman" w:hAnsi="Arial" w:cs="Arial"/>
          <w:szCs w:val="28"/>
        </w:rPr>
        <w:t>relate to plasma/serum values rather than DBS</w:t>
      </w:r>
      <w:r w:rsidR="001A7E38">
        <w:rPr>
          <w:rFonts w:ascii="Arial" w:eastAsia="Times New Roman" w:hAnsi="Arial" w:cs="Arial"/>
          <w:szCs w:val="28"/>
        </w:rPr>
        <w:t xml:space="preserve"> results</w:t>
      </w:r>
      <w:r w:rsidRPr="00E53F71">
        <w:rPr>
          <w:rFonts w:ascii="Arial" w:eastAsia="Times New Roman" w:hAnsi="Arial" w:cs="Arial"/>
          <w:szCs w:val="28"/>
        </w:rPr>
        <w:t xml:space="preserve">.  </w:t>
      </w:r>
    </w:p>
    <w:p w14:paraId="1639CFB7" w14:textId="77777777" w:rsidR="00E53F71" w:rsidRPr="00DE75DB" w:rsidRDefault="00192CC2" w:rsidP="00E53F71">
      <w:pPr>
        <w:pStyle w:val="ListParagraph"/>
        <w:numPr>
          <w:ilvl w:val="1"/>
          <w:numId w:val="23"/>
        </w:numPr>
        <w:spacing w:after="120"/>
        <w:jc w:val="both"/>
        <w:rPr>
          <w:rFonts w:ascii="Arial" w:eastAsia="Times New Roman" w:hAnsi="Arial" w:cs="Arial"/>
          <w:szCs w:val="28"/>
          <w:u w:val="single"/>
        </w:rPr>
      </w:pPr>
      <w:r w:rsidRPr="00E53F71">
        <w:rPr>
          <w:rFonts w:ascii="Arial" w:eastAsia="Times New Roman" w:hAnsi="Arial" w:cs="Arial"/>
          <w:szCs w:val="28"/>
        </w:rPr>
        <w:t>C</w:t>
      </w:r>
      <w:r w:rsidR="00390B6A">
        <w:rPr>
          <w:rFonts w:ascii="Arial" w:eastAsia="Times New Roman" w:hAnsi="Arial" w:cs="Arial"/>
          <w:szCs w:val="28"/>
        </w:rPr>
        <w:t>orrelation</w:t>
      </w:r>
      <w:r w:rsidR="00585127" w:rsidRPr="00E53F71">
        <w:rPr>
          <w:rFonts w:ascii="Arial" w:eastAsia="Times New Roman" w:hAnsi="Arial" w:cs="Arial"/>
          <w:szCs w:val="28"/>
        </w:rPr>
        <w:t xml:space="preserve"> between plasma and DBS</w:t>
      </w:r>
      <w:r w:rsidRPr="00E53F71">
        <w:rPr>
          <w:rFonts w:ascii="Arial" w:eastAsia="Times New Roman" w:hAnsi="Arial" w:cs="Arial"/>
          <w:szCs w:val="28"/>
        </w:rPr>
        <w:t xml:space="preserve"> is often not straightforward</w:t>
      </w:r>
      <w:r w:rsidR="00390B6A">
        <w:rPr>
          <w:rFonts w:ascii="Arial" w:eastAsia="Times New Roman" w:hAnsi="Arial" w:cs="Arial"/>
          <w:szCs w:val="28"/>
        </w:rPr>
        <w:t xml:space="preserve"> and varies between analytes.</w:t>
      </w:r>
    </w:p>
    <w:p w14:paraId="42E26C6F" w14:textId="77777777" w:rsidR="00DE75DB" w:rsidRPr="00E53F71" w:rsidRDefault="00DE75DB" w:rsidP="00E53F71">
      <w:pPr>
        <w:pStyle w:val="ListParagraph"/>
        <w:numPr>
          <w:ilvl w:val="1"/>
          <w:numId w:val="23"/>
        </w:numPr>
        <w:spacing w:after="120"/>
        <w:jc w:val="both"/>
        <w:rPr>
          <w:rFonts w:ascii="Arial" w:eastAsia="Times New Roman" w:hAnsi="Arial" w:cs="Arial"/>
          <w:szCs w:val="28"/>
          <w:u w:val="single"/>
        </w:rPr>
      </w:pPr>
      <w:r>
        <w:rPr>
          <w:rFonts w:ascii="Arial" w:eastAsia="Times New Roman" w:hAnsi="Arial" w:cs="Arial"/>
          <w:szCs w:val="28"/>
        </w:rPr>
        <w:t xml:space="preserve">Measurement of uncertainty </w:t>
      </w:r>
      <w:r w:rsidR="00390B6A">
        <w:rPr>
          <w:rFonts w:ascii="Arial" w:eastAsia="Times New Roman" w:hAnsi="Arial" w:cs="Arial"/>
          <w:szCs w:val="28"/>
        </w:rPr>
        <w:t xml:space="preserve">is </w:t>
      </w:r>
      <w:r>
        <w:rPr>
          <w:rFonts w:ascii="Arial" w:eastAsia="Times New Roman" w:hAnsi="Arial" w:cs="Arial"/>
          <w:szCs w:val="28"/>
        </w:rPr>
        <w:t>rarely considered in the context of clinical guidelines</w:t>
      </w:r>
    </w:p>
    <w:p w14:paraId="0366A6B5" w14:textId="77777777" w:rsidR="004621E4" w:rsidRDefault="004621E4" w:rsidP="00E53F71">
      <w:pPr>
        <w:pStyle w:val="ListParagraph"/>
        <w:spacing w:after="120"/>
        <w:jc w:val="both"/>
        <w:rPr>
          <w:rFonts w:ascii="Arial" w:eastAsia="Times New Roman" w:hAnsi="Arial" w:cs="Arial"/>
          <w:szCs w:val="28"/>
        </w:rPr>
      </w:pPr>
    </w:p>
    <w:p w14:paraId="14163311" w14:textId="77777777" w:rsidR="001A7E38" w:rsidRPr="00E53F71" w:rsidRDefault="001A7E38" w:rsidP="00E53F71">
      <w:pPr>
        <w:pStyle w:val="ListParagraph"/>
        <w:spacing w:after="120"/>
        <w:jc w:val="both"/>
        <w:rPr>
          <w:rFonts w:ascii="Arial" w:eastAsia="Times New Roman" w:hAnsi="Arial" w:cs="Arial"/>
          <w:szCs w:val="28"/>
        </w:rPr>
      </w:pPr>
    </w:p>
    <w:p w14:paraId="32B1C754" w14:textId="77777777" w:rsidR="001A7E38" w:rsidRDefault="001A7E38" w:rsidP="00DE75DB">
      <w:pPr>
        <w:spacing w:after="120"/>
        <w:jc w:val="both"/>
        <w:rPr>
          <w:rFonts w:ascii="Arial" w:eastAsia="Times New Roman" w:hAnsi="Arial" w:cs="Arial"/>
          <w:b/>
          <w:szCs w:val="28"/>
        </w:rPr>
      </w:pPr>
    </w:p>
    <w:p w14:paraId="6938A52C" w14:textId="77777777" w:rsidR="00E53F71" w:rsidRPr="002236B3" w:rsidRDefault="00DE75DB" w:rsidP="00DE75DB">
      <w:pPr>
        <w:spacing w:after="120"/>
        <w:jc w:val="both"/>
        <w:rPr>
          <w:rFonts w:ascii="Arial" w:eastAsia="Times New Roman" w:hAnsi="Arial" w:cs="Arial"/>
          <w:b/>
          <w:szCs w:val="28"/>
        </w:rPr>
      </w:pPr>
      <w:r w:rsidRPr="002236B3">
        <w:rPr>
          <w:rFonts w:ascii="Arial" w:eastAsia="Times New Roman" w:hAnsi="Arial" w:cs="Arial"/>
          <w:b/>
          <w:szCs w:val="28"/>
        </w:rPr>
        <w:lastRenderedPageBreak/>
        <w:t>Blood spot collection devices</w:t>
      </w:r>
    </w:p>
    <w:p w14:paraId="3D258A03" w14:textId="77777777" w:rsidR="004621E4" w:rsidRDefault="002236B3" w:rsidP="00E53F71">
      <w:pPr>
        <w:pStyle w:val="ListParagraph"/>
        <w:spacing w:after="120"/>
        <w:jc w:val="both"/>
        <w:rPr>
          <w:rFonts w:ascii="Arial" w:eastAsia="Times New Roman" w:hAnsi="Arial" w:cs="Arial"/>
          <w:szCs w:val="28"/>
        </w:rPr>
      </w:pPr>
      <w:r>
        <w:rPr>
          <w:rFonts w:ascii="Arial" w:eastAsia="Times New Roman" w:hAnsi="Arial" w:cs="Arial"/>
          <w:szCs w:val="28"/>
        </w:rPr>
        <w:t>As highlighted above</w:t>
      </w:r>
      <w:r w:rsidR="001A7E38">
        <w:rPr>
          <w:rFonts w:ascii="Arial" w:eastAsia="Times New Roman" w:hAnsi="Arial" w:cs="Arial"/>
          <w:szCs w:val="28"/>
        </w:rPr>
        <w:t>,</w:t>
      </w:r>
      <w:r>
        <w:rPr>
          <w:rFonts w:ascii="Arial" w:eastAsia="Times New Roman" w:hAnsi="Arial" w:cs="Arial"/>
          <w:szCs w:val="28"/>
        </w:rPr>
        <w:t xml:space="preserve"> pre-analytical issues have a significant impact on the accuracy of DBS results. Alternatives to standard filter paper collection devices e.g. HemaXis DB10, Capitainer B and Mitra tips, are now available which potentially offer some advantages over current practice. </w:t>
      </w:r>
      <w:r w:rsidR="009F7259">
        <w:rPr>
          <w:rFonts w:ascii="Arial" w:eastAsia="Times New Roman" w:hAnsi="Arial" w:cs="Arial"/>
          <w:szCs w:val="28"/>
        </w:rPr>
        <w:t>See Rachel Carling’s presentation for a detailed overview of the above</w:t>
      </w:r>
      <w:r w:rsidR="00FA1D58">
        <w:rPr>
          <w:rFonts w:ascii="Arial" w:eastAsia="Times New Roman" w:hAnsi="Arial" w:cs="Arial"/>
          <w:szCs w:val="28"/>
        </w:rPr>
        <w:t xml:space="preserve"> devices</w:t>
      </w:r>
      <w:r w:rsidR="009F7259">
        <w:rPr>
          <w:rFonts w:ascii="Arial" w:eastAsia="Times New Roman" w:hAnsi="Arial" w:cs="Arial"/>
          <w:szCs w:val="28"/>
        </w:rPr>
        <w:t xml:space="preserve">. The potential benefits and disadvantages can be summarised as follows: </w:t>
      </w:r>
    </w:p>
    <w:p w14:paraId="642C66AF" w14:textId="77777777" w:rsidR="009F7259" w:rsidRDefault="009F7259" w:rsidP="00E53F71">
      <w:pPr>
        <w:pStyle w:val="ListParagraph"/>
        <w:spacing w:after="120"/>
        <w:jc w:val="both"/>
        <w:rPr>
          <w:rFonts w:ascii="Arial" w:eastAsia="Times New Roman" w:hAnsi="Arial" w:cs="Arial"/>
          <w:szCs w:val="28"/>
        </w:rPr>
      </w:pPr>
    </w:p>
    <w:p w14:paraId="166C405D" w14:textId="77777777" w:rsidR="009F7259" w:rsidRPr="00114972" w:rsidRDefault="004621E4" w:rsidP="00114972">
      <w:pPr>
        <w:pStyle w:val="ListParagraph"/>
        <w:spacing w:after="120"/>
        <w:jc w:val="both"/>
        <w:rPr>
          <w:rFonts w:ascii="Arial" w:eastAsia="Times New Roman" w:hAnsi="Arial" w:cs="Arial"/>
          <w:szCs w:val="28"/>
        </w:rPr>
      </w:pPr>
      <w:r w:rsidRPr="00FA1D58">
        <w:rPr>
          <w:rFonts w:ascii="Arial" w:eastAsia="Times New Roman" w:hAnsi="Arial" w:cs="Arial"/>
          <w:szCs w:val="28"/>
          <w:u w:val="single"/>
        </w:rPr>
        <w:t>Benefits</w:t>
      </w:r>
      <w:r>
        <w:rPr>
          <w:rFonts w:ascii="Arial" w:eastAsia="Times New Roman" w:hAnsi="Arial" w:cs="Arial"/>
          <w:szCs w:val="28"/>
        </w:rPr>
        <w:t xml:space="preserve">: collect a precise and accurate volume of blood, </w:t>
      </w:r>
      <w:r w:rsidR="00390B6A">
        <w:rPr>
          <w:rFonts w:ascii="Arial" w:eastAsia="Times New Roman" w:hAnsi="Arial" w:cs="Arial"/>
          <w:szCs w:val="28"/>
        </w:rPr>
        <w:t>reduce the</w:t>
      </w:r>
      <w:r w:rsidR="009F7259">
        <w:rPr>
          <w:rFonts w:ascii="Arial" w:eastAsia="Times New Roman" w:hAnsi="Arial" w:cs="Arial"/>
          <w:szCs w:val="28"/>
        </w:rPr>
        <w:t xml:space="preserve"> effect of haematocrit, easy to use, ease of transport, CE marked &amp; FDA approved. </w:t>
      </w:r>
    </w:p>
    <w:p w14:paraId="51EDDBC4" w14:textId="77777777" w:rsidR="009F7259" w:rsidRDefault="009F7259" w:rsidP="00E53F71">
      <w:pPr>
        <w:pStyle w:val="ListParagraph"/>
        <w:spacing w:after="120"/>
        <w:jc w:val="both"/>
        <w:rPr>
          <w:rFonts w:ascii="Arial" w:eastAsia="Times New Roman" w:hAnsi="Arial" w:cs="Arial"/>
          <w:szCs w:val="28"/>
        </w:rPr>
      </w:pPr>
      <w:r w:rsidRPr="00FA1D58">
        <w:rPr>
          <w:rFonts w:ascii="Arial" w:eastAsia="Times New Roman" w:hAnsi="Arial" w:cs="Arial"/>
          <w:szCs w:val="28"/>
          <w:u w:val="single"/>
        </w:rPr>
        <w:t>Disadvantages</w:t>
      </w:r>
      <w:r>
        <w:rPr>
          <w:rFonts w:ascii="Arial" w:eastAsia="Times New Roman" w:hAnsi="Arial" w:cs="Arial"/>
          <w:szCs w:val="28"/>
        </w:rPr>
        <w:t>: Different punch size than in current use</w:t>
      </w:r>
      <w:r w:rsidR="00114972">
        <w:rPr>
          <w:rFonts w:ascii="Arial" w:eastAsia="Times New Roman" w:hAnsi="Arial" w:cs="Arial"/>
          <w:szCs w:val="28"/>
        </w:rPr>
        <w:t xml:space="preserve"> so manual punching required, </w:t>
      </w:r>
      <w:r>
        <w:rPr>
          <w:rFonts w:ascii="Arial" w:eastAsia="Times New Roman" w:hAnsi="Arial" w:cs="Arial"/>
          <w:szCs w:val="28"/>
        </w:rPr>
        <w:t>manual transfer of sample</w:t>
      </w:r>
      <w:r w:rsidR="00FA1D58">
        <w:rPr>
          <w:rFonts w:ascii="Arial" w:eastAsia="Times New Roman" w:hAnsi="Arial" w:cs="Arial"/>
          <w:szCs w:val="28"/>
        </w:rPr>
        <w:t>s</w:t>
      </w:r>
      <w:r w:rsidR="00390B6A">
        <w:rPr>
          <w:rFonts w:ascii="Arial" w:eastAsia="Times New Roman" w:hAnsi="Arial" w:cs="Arial"/>
          <w:szCs w:val="28"/>
        </w:rPr>
        <w:t xml:space="preserve"> currently need</w:t>
      </w:r>
      <w:r>
        <w:rPr>
          <w:rFonts w:ascii="Arial" w:eastAsia="Times New Roman" w:hAnsi="Arial" w:cs="Arial"/>
          <w:szCs w:val="28"/>
        </w:rPr>
        <w:t xml:space="preserve">ed, </w:t>
      </w:r>
      <w:r w:rsidR="00114972">
        <w:rPr>
          <w:rFonts w:ascii="Arial" w:eastAsia="Times New Roman" w:hAnsi="Arial" w:cs="Arial"/>
          <w:szCs w:val="28"/>
        </w:rPr>
        <w:t xml:space="preserve">lack of automation, </w:t>
      </w:r>
      <w:r>
        <w:rPr>
          <w:rFonts w:ascii="Arial" w:eastAsia="Times New Roman" w:hAnsi="Arial" w:cs="Arial"/>
          <w:szCs w:val="28"/>
        </w:rPr>
        <w:t xml:space="preserve">increased costs of collection devices  </w:t>
      </w:r>
    </w:p>
    <w:p w14:paraId="2D14DFF2" w14:textId="77777777" w:rsidR="001A7E38" w:rsidRPr="001A7E38" w:rsidRDefault="00114972" w:rsidP="001A7E38">
      <w:pPr>
        <w:spacing w:after="120"/>
        <w:ind w:left="720"/>
        <w:jc w:val="both"/>
        <w:rPr>
          <w:rFonts w:ascii="Arial" w:eastAsia="Times New Roman" w:hAnsi="Arial" w:cs="Arial"/>
          <w:szCs w:val="28"/>
        </w:rPr>
      </w:pPr>
      <w:r>
        <w:rPr>
          <w:rFonts w:ascii="Arial" w:eastAsia="Times New Roman" w:hAnsi="Arial" w:cs="Arial"/>
          <w:szCs w:val="28"/>
        </w:rPr>
        <w:t>A study</w:t>
      </w:r>
      <w:r w:rsidR="00390B6A">
        <w:rPr>
          <w:rFonts w:ascii="Arial" w:eastAsia="Times New Roman" w:hAnsi="Arial" w:cs="Arial"/>
          <w:szCs w:val="28"/>
        </w:rPr>
        <w:t xml:space="preserve"> (Viapath, Evelina and UHW, Cardiff)</w:t>
      </w:r>
      <w:r>
        <w:rPr>
          <w:rFonts w:ascii="Arial" w:eastAsia="Times New Roman" w:hAnsi="Arial" w:cs="Arial"/>
          <w:szCs w:val="28"/>
        </w:rPr>
        <w:t xml:space="preserve"> to compare the performance of three commercial DBS collection devices (HemaXis, Capitainer and Mitra BS) including laboratory assessment, use in the clinic setting and use for home monitoring was due to commence earlier this year but has been delayed due to COVID-19. </w:t>
      </w:r>
      <w:r w:rsidR="00FA1D58">
        <w:rPr>
          <w:rFonts w:ascii="Arial" w:eastAsia="Times New Roman" w:hAnsi="Arial" w:cs="Arial"/>
          <w:szCs w:val="28"/>
        </w:rPr>
        <w:t>There is</w:t>
      </w:r>
      <w:r w:rsidR="00390B6A">
        <w:rPr>
          <w:rFonts w:ascii="Arial" w:eastAsia="Times New Roman" w:hAnsi="Arial" w:cs="Arial"/>
          <w:szCs w:val="28"/>
        </w:rPr>
        <w:t xml:space="preserve"> also</w:t>
      </w:r>
      <w:r w:rsidR="00FA1D58">
        <w:rPr>
          <w:rFonts w:ascii="Arial" w:eastAsia="Times New Roman" w:hAnsi="Arial" w:cs="Arial"/>
          <w:szCs w:val="28"/>
        </w:rPr>
        <w:t xml:space="preserve"> some experience in the use of Mitra tips for immunosuppressant drugs and creatinine </w:t>
      </w:r>
      <w:r w:rsidR="00390B6A">
        <w:rPr>
          <w:rFonts w:ascii="Arial" w:eastAsia="Times New Roman" w:hAnsi="Arial" w:cs="Arial"/>
          <w:szCs w:val="28"/>
        </w:rPr>
        <w:t xml:space="preserve">at Viapath and </w:t>
      </w:r>
      <w:r w:rsidR="00FA1D58">
        <w:rPr>
          <w:rFonts w:ascii="Arial" w:eastAsia="Times New Roman" w:hAnsi="Arial" w:cs="Arial"/>
          <w:szCs w:val="28"/>
        </w:rPr>
        <w:t>preliminary exp</w:t>
      </w:r>
      <w:r w:rsidR="00390B6A">
        <w:rPr>
          <w:rFonts w:ascii="Arial" w:eastAsia="Times New Roman" w:hAnsi="Arial" w:cs="Arial"/>
          <w:szCs w:val="28"/>
        </w:rPr>
        <w:t>eriments for the</w:t>
      </w:r>
      <w:r w:rsidR="00FA1D58">
        <w:rPr>
          <w:rFonts w:ascii="Arial" w:eastAsia="Times New Roman" w:hAnsi="Arial" w:cs="Arial"/>
          <w:szCs w:val="28"/>
        </w:rPr>
        <w:t xml:space="preserve"> IMD markers phenylalanine, tyrosine, BCAA &amp; acylcarnitines</w:t>
      </w:r>
      <w:r>
        <w:rPr>
          <w:rFonts w:ascii="Arial" w:eastAsia="Times New Roman" w:hAnsi="Arial" w:cs="Arial"/>
          <w:szCs w:val="28"/>
        </w:rPr>
        <w:t xml:space="preserve"> have been promising. It is noted that both HemaXis and Capitainer have plasma collection devices in development. </w:t>
      </w:r>
    </w:p>
    <w:p w14:paraId="14E0166A" w14:textId="77777777" w:rsidR="00C462DB" w:rsidRDefault="00815F5F" w:rsidP="00C462DB">
      <w:pPr>
        <w:spacing w:before="120"/>
        <w:jc w:val="both"/>
        <w:rPr>
          <w:rFonts w:ascii="Arial" w:eastAsia="Times New Roman" w:hAnsi="Arial" w:cs="Arial"/>
          <w:b/>
          <w:szCs w:val="28"/>
        </w:rPr>
      </w:pPr>
      <w:r>
        <w:rPr>
          <w:rFonts w:ascii="Arial" w:eastAsia="Times New Roman" w:hAnsi="Arial" w:cs="Arial"/>
          <w:b/>
          <w:szCs w:val="28"/>
        </w:rPr>
        <w:t>Summary</w:t>
      </w:r>
    </w:p>
    <w:p w14:paraId="73C8AFA1" w14:textId="77777777" w:rsidR="004B4E47" w:rsidRDefault="004B4E47" w:rsidP="000F6272">
      <w:pPr>
        <w:pStyle w:val="ListParagraph"/>
        <w:numPr>
          <w:ilvl w:val="0"/>
          <w:numId w:val="24"/>
        </w:numPr>
        <w:spacing w:before="120"/>
        <w:jc w:val="both"/>
        <w:rPr>
          <w:rFonts w:ascii="Arial" w:eastAsia="Times New Roman" w:hAnsi="Arial" w:cs="Arial"/>
          <w:szCs w:val="28"/>
        </w:rPr>
      </w:pPr>
      <w:r>
        <w:rPr>
          <w:rFonts w:ascii="Arial" w:eastAsia="Times New Roman" w:hAnsi="Arial" w:cs="Arial"/>
          <w:szCs w:val="28"/>
        </w:rPr>
        <w:t xml:space="preserve">Analysis of patient collected samples offers </w:t>
      </w:r>
      <w:r w:rsidR="000302EA">
        <w:rPr>
          <w:rFonts w:ascii="Arial" w:eastAsia="Times New Roman" w:hAnsi="Arial" w:cs="Arial"/>
          <w:szCs w:val="28"/>
        </w:rPr>
        <w:t>practical, clinical and potentially financial advantages</w:t>
      </w:r>
      <w:r>
        <w:rPr>
          <w:rFonts w:ascii="Arial" w:eastAsia="Times New Roman" w:hAnsi="Arial" w:cs="Arial"/>
          <w:szCs w:val="28"/>
        </w:rPr>
        <w:t xml:space="preserve"> for the monitoring of </w:t>
      </w:r>
      <w:r w:rsidR="00390B6A">
        <w:rPr>
          <w:rFonts w:ascii="Arial" w:eastAsia="Times New Roman" w:hAnsi="Arial" w:cs="Arial"/>
          <w:szCs w:val="28"/>
        </w:rPr>
        <w:t>IMD patients</w:t>
      </w:r>
      <w:r>
        <w:rPr>
          <w:rFonts w:ascii="Arial" w:eastAsia="Times New Roman" w:hAnsi="Arial" w:cs="Arial"/>
          <w:szCs w:val="28"/>
        </w:rPr>
        <w:t>.</w:t>
      </w:r>
      <w:r w:rsidR="000302EA">
        <w:rPr>
          <w:rFonts w:ascii="Arial" w:eastAsia="Times New Roman" w:hAnsi="Arial" w:cs="Arial"/>
          <w:szCs w:val="28"/>
        </w:rPr>
        <w:t xml:space="preserve"> </w:t>
      </w:r>
    </w:p>
    <w:p w14:paraId="7506AC7F" w14:textId="77777777" w:rsidR="0023324C" w:rsidRDefault="0023324C" w:rsidP="0023324C">
      <w:pPr>
        <w:pStyle w:val="ListParagraph"/>
        <w:numPr>
          <w:ilvl w:val="0"/>
          <w:numId w:val="24"/>
        </w:numPr>
        <w:spacing w:before="120"/>
        <w:jc w:val="both"/>
        <w:rPr>
          <w:rFonts w:ascii="Arial" w:eastAsia="Times New Roman" w:hAnsi="Arial" w:cs="Arial"/>
          <w:szCs w:val="28"/>
        </w:rPr>
      </w:pPr>
      <w:r>
        <w:rPr>
          <w:rFonts w:ascii="Arial" w:eastAsia="Times New Roman" w:hAnsi="Arial" w:cs="Arial"/>
          <w:szCs w:val="28"/>
        </w:rPr>
        <w:t>The Metabolic</w:t>
      </w:r>
      <w:r w:rsidRPr="000302EA">
        <w:rPr>
          <w:rFonts w:ascii="Arial" w:eastAsia="Times New Roman" w:hAnsi="Arial" w:cs="Arial"/>
          <w:szCs w:val="28"/>
        </w:rPr>
        <w:t xml:space="preserve"> laboratories currently provide a variety of tests</w:t>
      </w:r>
      <w:r>
        <w:rPr>
          <w:rFonts w:ascii="Arial" w:eastAsia="Times New Roman" w:hAnsi="Arial" w:cs="Arial"/>
          <w:szCs w:val="28"/>
        </w:rPr>
        <w:t>, principally amino acids,</w:t>
      </w:r>
      <w:r w:rsidRPr="000302EA">
        <w:rPr>
          <w:rFonts w:ascii="Arial" w:eastAsia="Times New Roman" w:hAnsi="Arial" w:cs="Arial"/>
          <w:szCs w:val="28"/>
        </w:rPr>
        <w:t xml:space="preserve"> for monitoring IMD on patient collected samples mainly on </w:t>
      </w:r>
      <w:r w:rsidR="00390B6A">
        <w:rPr>
          <w:rFonts w:ascii="Arial" w:eastAsia="Times New Roman" w:hAnsi="Arial" w:cs="Arial"/>
          <w:szCs w:val="28"/>
        </w:rPr>
        <w:t xml:space="preserve">DBS </w:t>
      </w:r>
      <w:r w:rsidRPr="000302EA">
        <w:rPr>
          <w:rFonts w:ascii="Arial" w:eastAsia="Times New Roman" w:hAnsi="Arial" w:cs="Arial"/>
          <w:szCs w:val="28"/>
        </w:rPr>
        <w:t>samples.</w:t>
      </w:r>
    </w:p>
    <w:p w14:paraId="1C146B77" w14:textId="77777777" w:rsidR="004B4E47" w:rsidRPr="000302EA" w:rsidRDefault="004B4E47" w:rsidP="004B4E47">
      <w:pPr>
        <w:pStyle w:val="ListParagraph"/>
        <w:numPr>
          <w:ilvl w:val="0"/>
          <w:numId w:val="24"/>
        </w:numPr>
        <w:spacing w:before="120"/>
        <w:jc w:val="both"/>
        <w:rPr>
          <w:rFonts w:ascii="Arial" w:eastAsia="Times New Roman" w:hAnsi="Arial" w:cs="Arial"/>
          <w:szCs w:val="28"/>
        </w:rPr>
      </w:pPr>
      <w:r w:rsidRPr="000302EA">
        <w:rPr>
          <w:rFonts w:ascii="Arial" w:eastAsia="Times New Roman" w:hAnsi="Arial" w:cs="Arial"/>
          <w:szCs w:val="28"/>
        </w:rPr>
        <w:t>The workshop has summarised the key issues and challenges associated with DBS monitoring including pre-analytical, analytical and post analytical factors.</w:t>
      </w:r>
      <w:r w:rsidR="0023324C">
        <w:rPr>
          <w:rFonts w:ascii="Arial" w:eastAsia="Times New Roman" w:hAnsi="Arial" w:cs="Arial"/>
          <w:szCs w:val="28"/>
        </w:rPr>
        <w:t xml:space="preserve"> </w:t>
      </w:r>
    </w:p>
    <w:p w14:paraId="566B7A4A" w14:textId="77777777" w:rsidR="004B4E47" w:rsidRPr="000302EA" w:rsidRDefault="0023324C" w:rsidP="000F6272">
      <w:pPr>
        <w:pStyle w:val="ListParagraph"/>
        <w:numPr>
          <w:ilvl w:val="0"/>
          <w:numId w:val="24"/>
        </w:numPr>
        <w:spacing w:before="120"/>
        <w:jc w:val="both"/>
        <w:rPr>
          <w:rFonts w:ascii="Arial" w:eastAsia="Times New Roman" w:hAnsi="Arial" w:cs="Arial"/>
          <w:szCs w:val="28"/>
        </w:rPr>
      </w:pPr>
      <w:r>
        <w:rPr>
          <w:rFonts w:ascii="Arial" w:eastAsia="Times New Roman" w:hAnsi="Arial" w:cs="Arial"/>
          <w:szCs w:val="28"/>
        </w:rPr>
        <w:t>The need for optimal sample collection, transport and storage is crucial to the quality of results achieved. The use of commercial sample collection devices would address some of the pre-analytical variables and</w:t>
      </w:r>
      <w:r w:rsidR="00F734B9">
        <w:rPr>
          <w:rFonts w:ascii="Arial" w:eastAsia="Times New Roman" w:hAnsi="Arial" w:cs="Arial"/>
          <w:szCs w:val="28"/>
        </w:rPr>
        <w:t xml:space="preserve"> should be explored.</w:t>
      </w:r>
      <w:r>
        <w:rPr>
          <w:rFonts w:ascii="Arial" w:eastAsia="Times New Roman" w:hAnsi="Arial" w:cs="Arial"/>
          <w:szCs w:val="28"/>
        </w:rPr>
        <w:t xml:space="preserve"> </w:t>
      </w:r>
      <w:r w:rsidR="00F734B9">
        <w:rPr>
          <w:rFonts w:ascii="Arial" w:eastAsia="Times New Roman" w:hAnsi="Arial" w:cs="Arial"/>
          <w:szCs w:val="28"/>
        </w:rPr>
        <w:t>R</w:t>
      </w:r>
      <w:r>
        <w:rPr>
          <w:rFonts w:ascii="Arial" w:eastAsia="Times New Roman" w:hAnsi="Arial" w:cs="Arial"/>
          <w:szCs w:val="28"/>
        </w:rPr>
        <w:t>egular training of sample takers</w:t>
      </w:r>
      <w:r w:rsidR="00F734B9">
        <w:rPr>
          <w:rFonts w:ascii="Arial" w:eastAsia="Times New Roman" w:hAnsi="Arial" w:cs="Arial"/>
          <w:szCs w:val="28"/>
        </w:rPr>
        <w:t xml:space="preserve"> is</w:t>
      </w:r>
      <w:r>
        <w:rPr>
          <w:rFonts w:ascii="Arial" w:eastAsia="Times New Roman" w:hAnsi="Arial" w:cs="Arial"/>
          <w:szCs w:val="28"/>
        </w:rPr>
        <w:t xml:space="preserve"> essential.</w:t>
      </w:r>
    </w:p>
    <w:p w14:paraId="743F3C5A" w14:textId="77777777" w:rsidR="004B4E47" w:rsidRDefault="00815F5F" w:rsidP="000F6272">
      <w:pPr>
        <w:pStyle w:val="ListParagraph"/>
        <w:numPr>
          <w:ilvl w:val="0"/>
          <w:numId w:val="24"/>
        </w:numPr>
        <w:spacing w:before="120"/>
        <w:jc w:val="both"/>
        <w:rPr>
          <w:rFonts w:ascii="Arial" w:eastAsia="Times New Roman" w:hAnsi="Arial" w:cs="Arial"/>
          <w:szCs w:val="28"/>
        </w:rPr>
      </w:pPr>
      <w:r>
        <w:rPr>
          <w:rFonts w:ascii="Arial" w:eastAsia="Times New Roman" w:hAnsi="Arial" w:cs="Arial"/>
          <w:szCs w:val="28"/>
        </w:rPr>
        <w:t xml:space="preserve">The </w:t>
      </w:r>
      <w:r w:rsidR="000302EA" w:rsidRPr="000302EA">
        <w:rPr>
          <w:rFonts w:ascii="Arial" w:eastAsia="Times New Roman" w:hAnsi="Arial" w:cs="Arial"/>
          <w:szCs w:val="28"/>
        </w:rPr>
        <w:t xml:space="preserve">variation in practice across laboratories in terms of </w:t>
      </w:r>
      <w:r w:rsidR="004B4E47">
        <w:rPr>
          <w:rFonts w:ascii="Arial" w:eastAsia="Times New Roman" w:hAnsi="Arial" w:cs="Arial"/>
          <w:szCs w:val="28"/>
        </w:rPr>
        <w:t xml:space="preserve">the </w:t>
      </w:r>
      <w:r w:rsidR="0023324C">
        <w:rPr>
          <w:rFonts w:ascii="Arial" w:eastAsia="Times New Roman" w:hAnsi="Arial" w:cs="Arial"/>
          <w:szCs w:val="28"/>
        </w:rPr>
        <w:t xml:space="preserve">analytical techniques and </w:t>
      </w:r>
      <w:r w:rsidR="000302EA" w:rsidRPr="000302EA">
        <w:rPr>
          <w:rFonts w:ascii="Arial" w:eastAsia="Times New Roman" w:hAnsi="Arial" w:cs="Arial"/>
          <w:szCs w:val="28"/>
        </w:rPr>
        <w:t>methodo</w:t>
      </w:r>
      <w:r w:rsidR="0023324C">
        <w:rPr>
          <w:rFonts w:ascii="Arial" w:eastAsia="Times New Roman" w:hAnsi="Arial" w:cs="Arial"/>
          <w:szCs w:val="28"/>
        </w:rPr>
        <w:t>logies used</w:t>
      </w:r>
      <w:r>
        <w:rPr>
          <w:rFonts w:ascii="Arial" w:eastAsia="Times New Roman" w:hAnsi="Arial" w:cs="Arial"/>
          <w:szCs w:val="28"/>
        </w:rPr>
        <w:t>, along with the lack of a commercially available CRM to facilitate assay standardisation, explains the</w:t>
      </w:r>
      <w:r w:rsidR="0023324C">
        <w:rPr>
          <w:rFonts w:ascii="Arial" w:eastAsia="Times New Roman" w:hAnsi="Arial" w:cs="Arial"/>
          <w:szCs w:val="28"/>
        </w:rPr>
        <w:t xml:space="preserve"> </w:t>
      </w:r>
      <w:r w:rsidR="00F734B9">
        <w:rPr>
          <w:rFonts w:ascii="Arial" w:eastAsia="Times New Roman" w:hAnsi="Arial" w:cs="Arial"/>
          <w:szCs w:val="28"/>
        </w:rPr>
        <w:t>significant between-</w:t>
      </w:r>
      <w:r w:rsidR="000302EA" w:rsidRPr="000302EA">
        <w:rPr>
          <w:rFonts w:ascii="Arial" w:eastAsia="Times New Roman" w:hAnsi="Arial" w:cs="Arial"/>
          <w:szCs w:val="28"/>
        </w:rPr>
        <w:t xml:space="preserve">laboratory variation </w:t>
      </w:r>
      <w:r>
        <w:rPr>
          <w:rFonts w:ascii="Arial" w:eastAsia="Times New Roman" w:hAnsi="Arial" w:cs="Arial"/>
          <w:szCs w:val="28"/>
        </w:rPr>
        <w:t xml:space="preserve">in the reporting of metabolites demonstrated </w:t>
      </w:r>
      <w:r w:rsidR="000302EA" w:rsidRPr="000302EA">
        <w:rPr>
          <w:rFonts w:ascii="Arial" w:eastAsia="Times New Roman" w:hAnsi="Arial" w:cs="Arial"/>
          <w:szCs w:val="28"/>
        </w:rPr>
        <w:t>by the ERNDIM blood spot EQA scheme.</w:t>
      </w:r>
      <w:r w:rsidR="000F6272" w:rsidRPr="000302EA">
        <w:rPr>
          <w:rFonts w:ascii="Arial" w:eastAsia="Times New Roman" w:hAnsi="Arial" w:cs="Arial"/>
          <w:szCs w:val="28"/>
        </w:rPr>
        <w:t xml:space="preserve"> </w:t>
      </w:r>
    </w:p>
    <w:p w14:paraId="38FB2FDF" w14:textId="77777777" w:rsidR="000E4148" w:rsidRPr="000E4148" w:rsidRDefault="00815F5F" w:rsidP="000E4148">
      <w:pPr>
        <w:pStyle w:val="ListParagraph"/>
        <w:numPr>
          <w:ilvl w:val="0"/>
          <w:numId w:val="24"/>
        </w:numPr>
        <w:spacing w:before="120"/>
        <w:jc w:val="both"/>
        <w:rPr>
          <w:rFonts w:ascii="Arial" w:eastAsia="Times New Roman" w:hAnsi="Arial" w:cs="Arial"/>
          <w:szCs w:val="28"/>
        </w:rPr>
      </w:pPr>
      <w:r>
        <w:rPr>
          <w:rFonts w:ascii="Arial" w:eastAsia="Times New Roman" w:hAnsi="Arial" w:cs="Arial"/>
          <w:szCs w:val="28"/>
        </w:rPr>
        <w:t xml:space="preserve">Such variation </w:t>
      </w:r>
      <w:r w:rsidR="00F734B9">
        <w:rPr>
          <w:rFonts w:ascii="Arial" w:eastAsia="Times New Roman" w:hAnsi="Arial" w:cs="Arial"/>
          <w:szCs w:val="28"/>
        </w:rPr>
        <w:t xml:space="preserve">influences the reliability of applying </w:t>
      </w:r>
      <w:r>
        <w:rPr>
          <w:rFonts w:ascii="Arial" w:eastAsia="Times New Roman" w:hAnsi="Arial" w:cs="Arial"/>
          <w:szCs w:val="28"/>
        </w:rPr>
        <w:t>results</w:t>
      </w:r>
      <w:r w:rsidR="00F734B9">
        <w:rPr>
          <w:rFonts w:ascii="Arial" w:eastAsia="Times New Roman" w:hAnsi="Arial" w:cs="Arial"/>
          <w:szCs w:val="28"/>
        </w:rPr>
        <w:t xml:space="preserve"> </w:t>
      </w:r>
      <w:r>
        <w:rPr>
          <w:rFonts w:ascii="Arial" w:eastAsia="Times New Roman" w:hAnsi="Arial" w:cs="Arial"/>
          <w:szCs w:val="28"/>
        </w:rPr>
        <w:t>to European and international</w:t>
      </w:r>
      <w:r w:rsidR="00F734B9">
        <w:rPr>
          <w:rFonts w:ascii="Arial" w:eastAsia="Times New Roman" w:hAnsi="Arial" w:cs="Arial"/>
          <w:szCs w:val="28"/>
        </w:rPr>
        <w:t xml:space="preserve"> consensus clinical guidelines and highlights the need to standardise current practice across laboratories as the first step towards increasing access and the repertoire of t</w:t>
      </w:r>
      <w:r w:rsidR="000E4148">
        <w:rPr>
          <w:rFonts w:ascii="Arial" w:eastAsia="Times New Roman" w:hAnsi="Arial" w:cs="Arial"/>
          <w:szCs w:val="28"/>
        </w:rPr>
        <w:t>ests available on</w:t>
      </w:r>
      <w:r w:rsidR="00F734B9">
        <w:rPr>
          <w:rFonts w:ascii="Arial" w:eastAsia="Times New Roman" w:hAnsi="Arial" w:cs="Arial"/>
          <w:szCs w:val="28"/>
        </w:rPr>
        <w:t xml:space="preserve"> patient collected samples.</w:t>
      </w:r>
    </w:p>
    <w:p w14:paraId="17685C80" w14:textId="77777777" w:rsidR="00815F5F" w:rsidRDefault="00815F5F" w:rsidP="00F734B9">
      <w:pPr>
        <w:pStyle w:val="ListParagraph"/>
        <w:spacing w:before="120"/>
        <w:jc w:val="both"/>
        <w:rPr>
          <w:rFonts w:ascii="Arial" w:eastAsia="Times New Roman" w:hAnsi="Arial" w:cs="Arial"/>
          <w:szCs w:val="28"/>
        </w:rPr>
      </w:pPr>
    </w:p>
    <w:p w14:paraId="19B14FDA" w14:textId="77777777" w:rsidR="00F109CB" w:rsidRDefault="00F734B9" w:rsidP="000E4148">
      <w:pPr>
        <w:spacing w:before="120"/>
        <w:jc w:val="both"/>
        <w:rPr>
          <w:rFonts w:ascii="Arial" w:eastAsia="Times New Roman" w:hAnsi="Arial" w:cs="Arial"/>
          <w:b/>
          <w:szCs w:val="28"/>
        </w:rPr>
      </w:pPr>
      <w:r w:rsidRPr="00F734B9">
        <w:rPr>
          <w:rFonts w:ascii="Arial" w:eastAsia="Times New Roman" w:hAnsi="Arial" w:cs="Arial"/>
          <w:b/>
          <w:szCs w:val="28"/>
        </w:rPr>
        <w:t>Next Steps</w:t>
      </w:r>
    </w:p>
    <w:p w14:paraId="42511E42" w14:textId="77777777" w:rsidR="008B54CB" w:rsidRDefault="00A409AB" w:rsidP="008B54CB">
      <w:pPr>
        <w:spacing w:before="120"/>
        <w:jc w:val="both"/>
        <w:rPr>
          <w:rFonts w:ascii="Arial" w:eastAsia="Times New Roman" w:hAnsi="Arial" w:cs="Arial"/>
          <w:szCs w:val="28"/>
        </w:rPr>
      </w:pPr>
      <w:r w:rsidRPr="008B54CB">
        <w:rPr>
          <w:rFonts w:ascii="Arial" w:eastAsia="Times New Roman" w:hAnsi="Arial" w:cs="Arial"/>
          <w:szCs w:val="28"/>
        </w:rPr>
        <w:t>MetBioNet and BIMDG</w:t>
      </w:r>
      <w:r>
        <w:rPr>
          <w:rFonts w:ascii="Arial" w:eastAsia="Times New Roman" w:hAnsi="Arial" w:cs="Arial"/>
          <w:szCs w:val="28"/>
        </w:rPr>
        <w:t xml:space="preserve"> will continue to</w:t>
      </w:r>
      <w:r w:rsidRPr="008B54CB">
        <w:rPr>
          <w:rFonts w:ascii="Arial" w:eastAsia="Times New Roman" w:hAnsi="Arial" w:cs="Arial"/>
          <w:szCs w:val="28"/>
        </w:rPr>
        <w:t xml:space="preserve"> work with GIRFT on finding IT so</w:t>
      </w:r>
      <w:r w:rsidR="008B54CB">
        <w:rPr>
          <w:rFonts w:ascii="Arial" w:eastAsia="Times New Roman" w:hAnsi="Arial" w:cs="Arial"/>
          <w:szCs w:val="28"/>
        </w:rPr>
        <w:t>lutions to support remote specialis</w:t>
      </w:r>
      <w:r w:rsidRPr="008B54CB">
        <w:rPr>
          <w:rFonts w:ascii="Arial" w:eastAsia="Times New Roman" w:hAnsi="Arial" w:cs="Arial"/>
          <w:szCs w:val="28"/>
        </w:rPr>
        <w:t>t metabolic clinics</w:t>
      </w:r>
      <w:r w:rsidR="008B54CB">
        <w:rPr>
          <w:rFonts w:ascii="Arial" w:eastAsia="Times New Roman" w:hAnsi="Arial" w:cs="Arial"/>
          <w:szCs w:val="28"/>
        </w:rPr>
        <w:t xml:space="preserve">. </w:t>
      </w:r>
    </w:p>
    <w:p w14:paraId="3D02AF6E" w14:textId="77777777" w:rsidR="00F109CB" w:rsidRPr="008B54CB" w:rsidRDefault="008B54CB" w:rsidP="008B54CB">
      <w:pPr>
        <w:spacing w:before="120"/>
        <w:jc w:val="both"/>
        <w:rPr>
          <w:rFonts w:ascii="Arial" w:eastAsia="Times New Roman" w:hAnsi="Arial" w:cs="Arial"/>
          <w:szCs w:val="28"/>
        </w:rPr>
      </w:pPr>
      <w:r>
        <w:rPr>
          <w:rFonts w:ascii="Arial" w:eastAsia="Times New Roman" w:hAnsi="Arial" w:cs="Arial"/>
          <w:szCs w:val="28"/>
        </w:rPr>
        <w:t xml:space="preserve">A </w:t>
      </w:r>
      <w:r w:rsidR="00F109CB">
        <w:rPr>
          <w:rFonts w:ascii="Arial" w:eastAsia="Times New Roman" w:hAnsi="Arial" w:cs="Arial"/>
          <w:szCs w:val="28"/>
        </w:rPr>
        <w:t>joint MetBioNet/BIMDG working group is proposed to take forward the following:</w:t>
      </w:r>
    </w:p>
    <w:p w14:paraId="2B10E68E" w14:textId="77777777" w:rsidR="00F109CB" w:rsidRDefault="00F109CB" w:rsidP="000E4148">
      <w:pPr>
        <w:pStyle w:val="ListParagraph"/>
        <w:numPr>
          <w:ilvl w:val="0"/>
          <w:numId w:val="25"/>
        </w:numPr>
        <w:spacing w:before="120"/>
        <w:jc w:val="both"/>
        <w:rPr>
          <w:rFonts w:ascii="Arial" w:eastAsia="Times New Roman" w:hAnsi="Arial" w:cs="Arial"/>
          <w:szCs w:val="28"/>
        </w:rPr>
      </w:pPr>
      <w:r>
        <w:rPr>
          <w:rFonts w:ascii="Arial" w:eastAsia="Times New Roman" w:hAnsi="Arial" w:cs="Arial"/>
          <w:szCs w:val="28"/>
        </w:rPr>
        <w:t xml:space="preserve">Promote the </w:t>
      </w:r>
      <w:r w:rsidR="001F141F">
        <w:rPr>
          <w:rFonts w:ascii="Arial" w:eastAsia="Times New Roman" w:hAnsi="Arial" w:cs="Arial"/>
          <w:szCs w:val="28"/>
        </w:rPr>
        <w:t xml:space="preserve">clinical </w:t>
      </w:r>
      <w:r>
        <w:rPr>
          <w:rFonts w:ascii="Arial" w:eastAsia="Times New Roman" w:hAnsi="Arial" w:cs="Arial"/>
          <w:szCs w:val="28"/>
        </w:rPr>
        <w:t>understanding of the utility and limitations of DBS te</w:t>
      </w:r>
      <w:r w:rsidR="00313013">
        <w:rPr>
          <w:rFonts w:ascii="Arial" w:eastAsia="Times New Roman" w:hAnsi="Arial" w:cs="Arial"/>
          <w:szCs w:val="28"/>
        </w:rPr>
        <w:t>sting for the monitoring of IMD e.g. through the organisation of a joint BIMDG/MetBioNet workshop.</w:t>
      </w:r>
    </w:p>
    <w:p w14:paraId="42699606" w14:textId="77777777" w:rsidR="001F141F" w:rsidRDefault="00313013" w:rsidP="000E4148">
      <w:pPr>
        <w:pStyle w:val="ListParagraph"/>
        <w:numPr>
          <w:ilvl w:val="0"/>
          <w:numId w:val="25"/>
        </w:numPr>
        <w:spacing w:before="120"/>
        <w:jc w:val="both"/>
        <w:rPr>
          <w:rFonts w:ascii="Arial" w:eastAsia="Times New Roman" w:hAnsi="Arial" w:cs="Arial"/>
          <w:szCs w:val="28"/>
        </w:rPr>
      </w:pPr>
      <w:r>
        <w:rPr>
          <w:rFonts w:ascii="Arial" w:eastAsia="Times New Roman" w:hAnsi="Arial" w:cs="Arial"/>
          <w:szCs w:val="28"/>
        </w:rPr>
        <w:t>A</w:t>
      </w:r>
      <w:r w:rsidR="00F109CB">
        <w:rPr>
          <w:rFonts w:ascii="Arial" w:eastAsia="Times New Roman" w:hAnsi="Arial" w:cs="Arial"/>
          <w:szCs w:val="28"/>
        </w:rPr>
        <w:t xml:space="preserve">gree </w:t>
      </w:r>
      <w:r w:rsidR="00E47021">
        <w:rPr>
          <w:rFonts w:ascii="Arial" w:eastAsia="Times New Roman" w:hAnsi="Arial" w:cs="Arial"/>
          <w:szCs w:val="28"/>
        </w:rPr>
        <w:t xml:space="preserve">an approach to </w:t>
      </w:r>
      <w:r w:rsidR="001F141F">
        <w:rPr>
          <w:rFonts w:ascii="Arial" w:eastAsia="Times New Roman" w:hAnsi="Arial" w:cs="Arial"/>
          <w:szCs w:val="28"/>
        </w:rPr>
        <w:t>the development of blood spot assays for the monitoring of IMDs</w:t>
      </w:r>
    </w:p>
    <w:p w14:paraId="67AD461C" w14:textId="77777777" w:rsidR="001F141F" w:rsidRDefault="00313013" w:rsidP="001F141F">
      <w:pPr>
        <w:pStyle w:val="ListParagraph"/>
        <w:numPr>
          <w:ilvl w:val="0"/>
          <w:numId w:val="25"/>
        </w:numPr>
        <w:spacing w:before="120"/>
        <w:jc w:val="both"/>
        <w:rPr>
          <w:rFonts w:ascii="Arial" w:eastAsia="Times New Roman" w:hAnsi="Arial" w:cs="Arial"/>
          <w:szCs w:val="28"/>
        </w:rPr>
      </w:pPr>
      <w:r>
        <w:rPr>
          <w:rFonts w:ascii="Arial" w:eastAsia="Times New Roman" w:hAnsi="Arial" w:cs="Arial"/>
          <w:szCs w:val="28"/>
        </w:rPr>
        <w:lastRenderedPageBreak/>
        <w:t>S</w:t>
      </w:r>
      <w:r w:rsidR="001F141F">
        <w:rPr>
          <w:rFonts w:ascii="Arial" w:eastAsia="Times New Roman" w:hAnsi="Arial" w:cs="Arial"/>
          <w:szCs w:val="28"/>
        </w:rPr>
        <w:t xml:space="preserve">upport the work required to standardise and optimise the blood spot assays including addressing the reporting requirements to meet the clinical need. </w:t>
      </w:r>
    </w:p>
    <w:p w14:paraId="7D678985" w14:textId="77777777" w:rsidR="000E4148" w:rsidRDefault="001F141F" w:rsidP="001F141F">
      <w:pPr>
        <w:pStyle w:val="ListParagraph"/>
        <w:numPr>
          <w:ilvl w:val="0"/>
          <w:numId w:val="25"/>
        </w:numPr>
        <w:spacing w:before="120"/>
        <w:jc w:val="both"/>
        <w:rPr>
          <w:rFonts w:ascii="Arial" w:eastAsia="Times New Roman" w:hAnsi="Arial" w:cs="Arial"/>
          <w:szCs w:val="28"/>
        </w:rPr>
      </w:pPr>
      <w:r>
        <w:rPr>
          <w:rFonts w:ascii="Arial" w:eastAsia="Times New Roman" w:hAnsi="Arial" w:cs="Arial"/>
          <w:szCs w:val="28"/>
        </w:rPr>
        <w:t>S</w:t>
      </w:r>
      <w:r w:rsidR="00313013">
        <w:rPr>
          <w:rFonts w:ascii="Arial" w:eastAsia="Times New Roman" w:hAnsi="Arial" w:cs="Arial"/>
          <w:szCs w:val="28"/>
        </w:rPr>
        <w:t>upport the work</w:t>
      </w:r>
      <w:r w:rsidR="00F109CB" w:rsidRPr="001F141F">
        <w:rPr>
          <w:rFonts w:ascii="Arial" w:eastAsia="Times New Roman" w:hAnsi="Arial" w:cs="Arial"/>
          <w:szCs w:val="28"/>
        </w:rPr>
        <w:t xml:space="preserve"> assessing the performance and utility of the new s</w:t>
      </w:r>
      <w:r w:rsidR="000E4148" w:rsidRPr="001F141F">
        <w:rPr>
          <w:rFonts w:ascii="Arial" w:eastAsia="Times New Roman" w:hAnsi="Arial" w:cs="Arial"/>
          <w:szCs w:val="28"/>
        </w:rPr>
        <w:t>ample collection devices</w:t>
      </w:r>
      <w:r>
        <w:rPr>
          <w:rFonts w:ascii="Arial" w:eastAsia="Times New Roman" w:hAnsi="Arial" w:cs="Arial"/>
          <w:szCs w:val="28"/>
        </w:rPr>
        <w:t>.</w:t>
      </w:r>
    </w:p>
    <w:p w14:paraId="08139BFF" w14:textId="77777777" w:rsidR="001A5438" w:rsidRPr="001A7E38" w:rsidRDefault="001F141F" w:rsidP="001A7E38">
      <w:pPr>
        <w:pStyle w:val="ListParagraph"/>
        <w:numPr>
          <w:ilvl w:val="0"/>
          <w:numId w:val="25"/>
        </w:numPr>
        <w:spacing w:before="120"/>
        <w:jc w:val="both"/>
        <w:rPr>
          <w:rFonts w:ascii="Arial" w:eastAsia="Times New Roman" w:hAnsi="Arial" w:cs="Arial"/>
          <w:szCs w:val="28"/>
        </w:rPr>
      </w:pPr>
      <w:r>
        <w:rPr>
          <w:rFonts w:ascii="Arial" w:eastAsia="Times New Roman" w:hAnsi="Arial" w:cs="Arial"/>
          <w:szCs w:val="28"/>
        </w:rPr>
        <w:t>Identify the resources required to implement the above.</w:t>
      </w:r>
    </w:p>
    <w:sectPr w:rsidR="001A5438" w:rsidRPr="001A7E38" w:rsidSect="00585127">
      <w:headerReference w:type="even" r:id="rId8"/>
      <w:headerReference w:type="default" r:id="rId9"/>
      <w:footerReference w:type="even" r:id="rId10"/>
      <w:footerReference w:type="default" r:id="rId11"/>
      <w:headerReference w:type="first" r:id="rId12"/>
      <w:footerReference w:type="first" r:id="rId13"/>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A79D3" w14:textId="77777777" w:rsidR="00C86CD9" w:rsidRDefault="00C86CD9" w:rsidP="00C86CD9">
      <w:r>
        <w:separator/>
      </w:r>
    </w:p>
  </w:endnote>
  <w:endnote w:type="continuationSeparator" w:id="0">
    <w:p w14:paraId="02E152B7" w14:textId="77777777" w:rsidR="00C86CD9" w:rsidRDefault="00C86CD9" w:rsidP="00C86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E798" w14:textId="77777777" w:rsidR="00067260" w:rsidRDefault="00067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E7701" w14:textId="77777777" w:rsidR="00FD5BD6" w:rsidRDefault="00067260">
    <w:pPr>
      <w:pStyle w:val="Footer"/>
    </w:pPr>
    <w:r>
      <w:t>HK V3 15</w:t>
    </w:r>
    <w:r w:rsidR="00FD5BD6">
      <w:t>.9.20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253E5" w14:textId="77777777" w:rsidR="00067260" w:rsidRDefault="00067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42FAB" w14:textId="77777777" w:rsidR="00C86CD9" w:rsidRDefault="00C86CD9" w:rsidP="00C86CD9">
      <w:r>
        <w:separator/>
      </w:r>
    </w:p>
  </w:footnote>
  <w:footnote w:type="continuationSeparator" w:id="0">
    <w:p w14:paraId="781AAF6B" w14:textId="77777777" w:rsidR="00C86CD9" w:rsidRDefault="00C86CD9" w:rsidP="00C86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90749" w14:textId="77777777" w:rsidR="00067260" w:rsidRDefault="000672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A589" w14:textId="77777777" w:rsidR="00C86CD9" w:rsidRDefault="00C86CD9" w:rsidP="00C86CD9">
    <w:pPr>
      <w:pStyle w:val="Header"/>
      <w:jc w:val="right"/>
    </w:pPr>
    <w:r>
      <w:rPr>
        <w:rFonts w:ascii="Verdana" w:hAnsi="Verdana"/>
        <w:b/>
        <w:bCs/>
        <w:noProof/>
        <w:color w:val="000000"/>
        <w:sz w:val="17"/>
        <w:szCs w:val="17"/>
        <w:lang w:eastAsia="en-GB"/>
      </w:rPr>
      <w:drawing>
        <wp:inline distT="0" distB="0" distL="0" distR="0" wp14:anchorId="4F910149" wp14:editId="08EB3573">
          <wp:extent cx="822960" cy="436217"/>
          <wp:effectExtent l="0" t="0" r="0" b="2540"/>
          <wp:docPr id="1" name="Picture 1" descr="http://www.metbio.net/assets/metbio170.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tbio.net/assets/metbio170.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3787" cy="4366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4291" w14:textId="77777777" w:rsidR="00067260" w:rsidRDefault="00067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433"/>
    <w:multiLevelType w:val="hybridMultilevel"/>
    <w:tmpl w:val="C706C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02E7E"/>
    <w:multiLevelType w:val="hybridMultilevel"/>
    <w:tmpl w:val="FB965DF6"/>
    <w:lvl w:ilvl="0" w:tplc="0D9A2BFC">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FC6081"/>
    <w:multiLevelType w:val="hybridMultilevel"/>
    <w:tmpl w:val="2572F0C2"/>
    <w:lvl w:ilvl="0" w:tplc="FE082278">
      <w:start w:val="1"/>
      <w:numFmt w:val="bullet"/>
      <w:lvlText w:val="•"/>
      <w:lvlJc w:val="left"/>
      <w:pPr>
        <w:tabs>
          <w:tab w:val="num" w:pos="720"/>
        </w:tabs>
        <w:ind w:left="720" w:hanging="360"/>
      </w:pPr>
      <w:rPr>
        <w:rFonts w:ascii="Arial" w:hAnsi="Arial" w:hint="default"/>
      </w:rPr>
    </w:lvl>
    <w:lvl w:ilvl="1" w:tplc="A3C40C82" w:tentative="1">
      <w:start w:val="1"/>
      <w:numFmt w:val="bullet"/>
      <w:lvlText w:val="•"/>
      <w:lvlJc w:val="left"/>
      <w:pPr>
        <w:tabs>
          <w:tab w:val="num" w:pos="1440"/>
        </w:tabs>
        <w:ind w:left="1440" w:hanging="360"/>
      </w:pPr>
      <w:rPr>
        <w:rFonts w:ascii="Arial" w:hAnsi="Arial" w:hint="default"/>
      </w:rPr>
    </w:lvl>
    <w:lvl w:ilvl="2" w:tplc="17126D00" w:tentative="1">
      <w:start w:val="1"/>
      <w:numFmt w:val="bullet"/>
      <w:lvlText w:val="•"/>
      <w:lvlJc w:val="left"/>
      <w:pPr>
        <w:tabs>
          <w:tab w:val="num" w:pos="2160"/>
        </w:tabs>
        <w:ind w:left="2160" w:hanging="360"/>
      </w:pPr>
      <w:rPr>
        <w:rFonts w:ascii="Arial" w:hAnsi="Arial" w:hint="default"/>
      </w:rPr>
    </w:lvl>
    <w:lvl w:ilvl="3" w:tplc="118EE9E0" w:tentative="1">
      <w:start w:val="1"/>
      <w:numFmt w:val="bullet"/>
      <w:lvlText w:val="•"/>
      <w:lvlJc w:val="left"/>
      <w:pPr>
        <w:tabs>
          <w:tab w:val="num" w:pos="2880"/>
        </w:tabs>
        <w:ind w:left="2880" w:hanging="360"/>
      </w:pPr>
      <w:rPr>
        <w:rFonts w:ascii="Arial" w:hAnsi="Arial" w:hint="default"/>
      </w:rPr>
    </w:lvl>
    <w:lvl w:ilvl="4" w:tplc="C2CA7798" w:tentative="1">
      <w:start w:val="1"/>
      <w:numFmt w:val="bullet"/>
      <w:lvlText w:val="•"/>
      <w:lvlJc w:val="left"/>
      <w:pPr>
        <w:tabs>
          <w:tab w:val="num" w:pos="3600"/>
        </w:tabs>
        <w:ind w:left="3600" w:hanging="360"/>
      </w:pPr>
      <w:rPr>
        <w:rFonts w:ascii="Arial" w:hAnsi="Arial" w:hint="default"/>
      </w:rPr>
    </w:lvl>
    <w:lvl w:ilvl="5" w:tplc="7C984A9A" w:tentative="1">
      <w:start w:val="1"/>
      <w:numFmt w:val="bullet"/>
      <w:lvlText w:val="•"/>
      <w:lvlJc w:val="left"/>
      <w:pPr>
        <w:tabs>
          <w:tab w:val="num" w:pos="4320"/>
        </w:tabs>
        <w:ind w:left="4320" w:hanging="360"/>
      </w:pPr>
      <w:rPr>
        <w:rFonts w:ascii="Arial" w:hAnsi="Arial" w:hint="default"/>
      </w:rPr>
    </w:lvl>
    <w:lvl w:ilvl="6" w:tplc="692078F6" w:tentative="1">
      <w:start w:val="1"/>
      <w:numFmt w:val="bullet"/>
      <w:lvlText w:val="•"/>
      <w:lvlJc w:val="left"/>
      <w:pPr>
        <w:tabs>
          <w:tab w:val="num" w:pos="5040"/>
        </w:tabs>
        <w:ind w:left="5040" w:hanging="360"/>
      </w:pPr>
      <w:rPr>
        <w:rFonts w:ascii="Arial" w:hAnsi="Arial" w:hint="default"/>
      </w:rPr>
    </w:lvl>
    <w:lvl w:ilvl="7" w:tplc="E9562950" w:tentative="1">
      <w:start w:val="1"/>
      <w:numFmt w:val="bullet"/>
      <w:lvlText w:val="•"/>
      <w:lvlJc w:val="left"/>
      <w:pPr>
        <w:tabs>
          <w:tab w:val="num" w:pos="5760"/>
        </w:tabs>
        <w:ind w:left="5760" w:hanging="360"/>
      </w:pPr>
      <w:rPr>
        <w:rFonts w:ascii="Arial" w:hAnsi="Arial" w:hint="default"/>
      </w:rPr>
    </w:lvl>
    <w:lvl w:ilvl="8" w:tplc="4BEAC8E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492E63"/>
    <w:multiLevelType w:val="multilevel"/>
    <w:tmpl w:val="8996B32A"/>
    <w:lvl w:ilvl="0">
      <w:start w:val="13"/>
      <w:numFmt w:val="decimal"/>
      <w:lvlText w:val="%1"/>
      <w:lvlJc w:val="left"/>
      <w:pPr>
        <w:ind w:left="480" w:hanging="480"/>
      </w:pPr>
      <w:rPr>
        <w:rFonts w:hint="default"/>
      </w:rPr>
    </w:lvl>
    <w:lvl w:ilvl="1">
      <w:start w:val="30"/>
      <w:numFmt w:val="decimal"/>
      <w:lvlText w:val="%1.%2"/>
      <w:lvlJc w:val="left"/>
      <w:pPr>
        <w:ind w:left="480"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C7C6978"/>
    <w:multiLevelType w:val="hybridMultilevel"/>
    <w:tmpl w:val="3624901C"/>
    <w:lvl w:ilvl="0" w:tplc="45124750">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5" w15:restartNumberingAfterBreak="0">
    <w:nsid w:val="1E765B45"/>
    <w:multiLevelType w:val="hybridMultilevel"/>
    <w:tmpl w:val="5C545E36"/>
    <w:lvl w:ilvl="0" w:tplc="8F5656E6">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62FE5"/>
    <w:multiLevelType w:val="hybridMultilevel"/>
    <w:tmpl w:val="F38A8A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660F30"/>
    <w:multiLevelType w:val="hybridMultilevel"/>
    <w:tmpl w:val="B16E77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CF4DA2"/>
    <w:multiLevelType w:val="hybridMultilevel"/>
    <w:tmpl w:val="E550E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5C512B3"/>
    <w:multiLevelType w:val="hybridMultilevel"/>
    <w:tmpl w:val="BC0CC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FD4CCE"/>
    <w:multiLevelType w:val="multilevel"/>
    <w:tmpl w:val="5CEC2C12"/>
    <w:lvl w:ilvl="0">
      <w:start w:val="14"/>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A3B29FE"/>
    <w:multiLevelType w:val="hybridMultilevel"/>
    <w:tmpl w:val="86866C36"/>
    <w:lvl w:ilvl="0" w:tplc="F1B2E2C0">
      <w:start w:val="1"/>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3D1C0BC8"/>
    <w:multiLevelType w:val="hybridMultilevel"/>
    <w:tmpl w:val="45040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C83B6A"/>
    <w:multiLevelType w:val="hybridMultilevel"/>
    <w:tmpl w:val="27787716"/>
    <w:lvl w:ilvl="0" w:tplc="8F5656E6">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F2C2AEC"/>
    <w:multiLevelType w:val="hybridMultilevel"/>
    <w:tmpl w:val="A6B2A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257B36"/>
    <w:multiLevelType w:val="multilevel"/>
    <w:tmpl w:val="15445020"/>
    <w:lvl w:ilvl="0">
      <w:start w:val="14"/>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5E967A2F"/>
    <w:multiLevelType w:val="hybridMultilevel"/>
    <w:tmpl w:val="6C1AB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3079A5"/>
    <w:multiLevelType w:val="hybridMultilevel"/>
    <w:tmpl w:val="F6F47FD4"/>
    <w:lvl w:ilvl="0" w:tplc="B0DC65B0">
      <w:start w:val="3"/>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CC3A85"/>
    <w:multiLevelType w:val="hybridMultilevel"/>
    <w:tmpl w:val="7E365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A87D50"/>
    <w:multiLevelType w:val="hybridMultilevel"/>
    <w:tmpl w:val="7084E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324AAA"/>
    <w:multiLevelType w:val="hybridMultilevel"/>
    <w:tmpl w:val="89CA87EC"/>
    <w:lvl w:ilvl="0" w:tplc="B0DC65B0">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4953C5"/>
    <w:multiLevelType w:val="hybridMultilevel"/>
    <w:tmpl w:val="CBA28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463EA6"/>
    <w:multiLevelType w:val="multilevel"/>
    <w:tmpl w:val="6524B70A"/>
    <w:lvl w:ilvl="0">
      <w:start w:val="13"/>
      <w:numFmt w:val="decimal"/>
      <w:lvlText w:val="%1"/>
      <w:lvlJc w:val="left"/>
      <w:pPr>
        <w:ind w:left="480" w:hanging="480"/>
      </w:pPr>
      <w:rPr>
        <w:rFonts w:hint="default"/>
      </w:rPr>
    </w:lvl>
    <w:lvl w:ilvl="1">
      <w:start w:val="4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6DE055F"/>
    <w:multiLevelType w:val="multilevel"/>
    <w:tmpl w:val="5998A782"/>
    <w:lvl w:ilvl="0">
      <w:start w:val="14"/>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7AF151B7"/>
    <w:multiLevelType w:val="hybridMultilevel"/>
    <w:tmpl w:val="3FB44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C87F9C"/>
    <w:multiLevelType w:val="multilevel"/>
    <w:tmpl w:val="8EA26C98"/>
    <w:lvl w:ilvl="0">
      <w:start w:val="13"/>
      <w:numFmt w:val="decimal"/>
      <w:lvlText w:val="%1"/>
      <w:lvlJc w:val="left"/>
      <w:pPr>
        <w:ind w:left="735" w:hanging="735"/>
      </w:pPr>
      <w:rPr>
        <w:rFonts w:hint="default"/>
      </w:rPr>
    </w:lvl>
    <w:lvl w:ilvl="1">
      <w:start w:val="30"/>
      <w:numFmt w:val="decimal"/>
      <w:lvlText w:val="%1.%2"/>
      <w:lvlJc w:val="left"/>
      <w:pPr>
        <w:ind w:left="2175" w:hanging="735"/>
      </w:pPr>
      <w:rPr>
        <w:rFonts w:hint="default"/>
      </w:rPr>
    </w:lvl>
    <w:lvl w:ilvl="2">
      <w:start w:val="1"/>
      <w:numFmt w:val="decimal"/>
      <w:lvlText w:val="%1.%2.%3"/>
      <w:lvlJc w:val="left"/>
      <w:pPr>
        <w:ind w:left="3615" w:hanging="735"/>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num w:numId="1" w16cid:durableId="1911307641">
    <w:abstractNumId w:val="8"/>
  </w:num>
  <w:num w:numId="2" w16cid:durableId="344676309">
    <w:abstractNumId w:val="3"/>
  </w:num>
  <w:num w:numId="3" w16cid:durableId="1252934562">
    <w:abstractNumId w:val="22"/>
  </w:num>
  <w:num w:numId="4" w16cid:durableId="619998253">
    <w:abstractNumId w:val="15"/>
  </w:num>
  <w:num w:numId="5" w16cid:durableId="19167628">
    <w:abstractNumId w:val="4"/>
  </w:num>
  <w:num w:numId="6" w16cid:durableId="187454439">
    <w:abstractNumId w:val="10"/>
  </w:num>
  <w:num w:numId="7" w16cid:durableId="1534613842">
    <w:abstractNumId w:val="23"/>
  </w:num>
  <w:num w:numId="8" w16cid:durableId="579094441">
    <w:abstractNumId w:val="25"/>
  </w:num>
  <w:num w:numId="9" w16cid:durableId="2023630380">
    <w:abstractNumId w:val="16"/>
  </w:num>
  <w:num w:numId="10" w16cid:durableId="722142834">
    <w:abstractNumId w:val="19"/>
  </w:num>
  <w:num w:numId="11" w16cid:durableId="2115246034">
    <w:abstractNumId w:val="24"/>
  </w:num>
  <w:num w:numId="12" w16cid:durableId="818426574">
    <w:abstractNumId w:val="6"/>
  </w:num>
  <w:num w:numId="13" w16cid:durableId="200017432">
    <w:abstractNumId w:val="21"/>
  </w:num>
  <w:num w:numId="14" w16cid:durableId="1861354481">
    <w:abstractNumId w:val="18"/>
  </w:num>
  <w:num w:numId="15" w16cid:durableId="850341865">
    <w:abstractNumId w:val="0"/>
  </w:num>
  <w:num w:numId="16" w16cid:durableId="244219411">
    <w:abstractNumId w:val="11"/>
  </w:num>
  <w:num w:numId="17" w16cid:durableId="867566909">
    <w:abstractNumId w:val="13"/>
  </w:num>
  <w:num w:numId="18" w16cid:durableId="1631545761">
    <w:abstractNumId w:val="5"/>
  </w:num>
  <w:num w:numId="19" w16cid:durableId="251941437">
    <w:abstractNumId w:val="20"/>
  </w:num>
  <w:num w:numId="20" w16cid:durableId="2141723861">
    <w:abstractNumId w:val="17"/>
  </w:num>
  <w:num w:numId="21" w16cid:durableId="1261640079">
    <w:abstractNumId w:val="2"/>
  </w:num>
  <w:num w:numId="22" w16cid:durableId="1059985283">
    <w:abstractNumId w:val="9"/>
  </w:num>
  <w:num w:numId="23" w16cid:durableId="767820794">
    <w:abstractNumId w:val="14"/>
  </w:num>
  <w:num w:numId="24" w16cid:durableId="1807357901">
    <w:abstractNumId w:val="7"/>
  </w:num>
  <w:num w:numId="25" w16cid:durableId="1934511348">
    <w:abstractNumId w:val="1"/>
  </w:num>
  <w:num w:numId="26" w16cid:durableId="9322792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E53"/>
    <w:rsid w:val="000034BF"/>
    <w:rsid w:val="000302EA"/>
    <w:rsid w:val="00060CED"/>
    <w:rsid w:val="00067260"/>
    <w:rsid w:val="000C6AD6"/>
    <w:rsid w:val="000E4148"/>
    <w:rsid w:val="000F6272"/>
    <w:rsid w:val="00114972"/>
    <w:rsid w:val="00192CC2"/>
    <w:rsid w:val="001A5438"/>
    <w:rsid w:val="001A7E38"/>
    <w:rsid w:val="001C4549"/>
    <w:rsid w:val="001F141F"/>
    <w:rsid w:val="00215E1A"/>
    <w:rsid w:val="002236B3"/>
    <w:rsid w:val="00230858"/>
    <w:rsid w:val="0023324C"/>
    <w:rsid w:val="00264E1C"/>
    <w:rsid w:val="002D2002"/>
    <w:rsid w:val="00313013"/>
    <w:rsid w:val="00336D08"/>
    <w:rsid w:val="00371D5B"/>
    <w:rsid w:val="00390B6A"/>
    <w:rsid w:val="003A42B0"/>
    <w:rsid w:val="003C0A61"/>
    <w:rsid w:val="003E61B9"/>
    <w:rsid w:val="00427AB4"/>
    <w:rsid w:val="004510CA"/>
    <w:rsid w:val="004621E4"/>
    <w:rsid w:val="00486E53"/>
    <w:rsid w:val="00497563"/>
    <w:rsid w:val="004B4E47"/>
    <w:rsid w:val="004D1076"/>
    <w:rsid w:val="004E6F15"/>
    <w:rsid w:val="00557126"/>
    <w:rsid w:val="0057062E"/>
    <w:rsid w:val="00581198"/>
    <w:rsid w:val="00585127"/>
    <w:rsid w:val="00590C97"/>
    <w:rsid w:val="005F115A"/>
    <w:rsid w:val="00636BE3"/>
    <w:rsid w:val="006B7899"/>
    <w:rsid w:val="0071049B"/>
    <w:rsid w:val="00727C3E"/>
    <w:rsid w:val="007B7E58"/>
    <w:rsid w:val="007F779E"/>
    <w:rsid w:val="00815F5F"/>
    <w:rsid w:val="0083699D"/>
    <w:rsid w:val="00850795"/>
    <w:rsid w:val="00856B84"/>
    <w:rsid w:val="0088004F"/>
    <w:rsid w:val="008B54CB"/>
    <w:rsid w:val="009B1DF6"/>
    <w:rsid w:val="009F7259"/>
    <w:rsid w:val="00A409AB"/>
    <w:rsid w:val="00AA3FF4"/>
    <w:rsid w:val="00B63C00"/>
    <w:rsid w:val="00B9772A"/>
    <w:rsid w:val="00C32B98"/>
    <w:rsid w:val="00C462DB"/>
    <w:rsid w:val="00C86CD9"/>
    <w:rsid w:val="00CC4E96"/>
    <w:rsid w:val="00CD342E"/>
    <w:rsid w:val="00D57716"/>
    <w:rsid w:val="00DE75DB"/>
    <w:rsid w:val="00DF7BF8"/>
    <w:rsid w:val="00E07135"/>
    <w:rsid w:val="00E47021"/>
    <w:rsid w:val="00E53F71"/>
    <w:rsid w:val="00E87B1E"/>
    <w:rsid w:val="00EC45BD"/>
    <w:rsid w:val="00F109CB"/>
    <w:rsid w:val="00F34C0E"/>
    <w:rsid w:val="00F73338"/>
    <w:rsid w:val="00F734B9"/>
    <w:rsid w:val="00F963B9"/>
    <w:rsid w:val="00FA1D58"/>
    <w:rsid w:val="00FA4768"/>
    <w:rsid w:val="00FD5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DF238E"/>
  <w15:docId w15:val="{B4D14D22-CD32-4A11-9D05-A750ACF4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79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E53"/>
    <w:pPr>
      <w:ind w:left="720"/>
      <w:contextualSpacing/>
    </w:pPr>
  </w:style>
  <w:style w:type="table" w:styleId="TableGrid">
    <w:name w:val="Table Grid"/>
    <w:basedOn w:val="TableNormal"/>
    <w:uiPriority w:val="59"/>
    <w:rsid w:val="004D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6CD9"/>
    <w:pPr>
      <w:tabs>
        <w:tab w:val="center" w:pos="4513"/>
        <w:tab w:val="right" w:pos="9026"/>
      </w:tabs>
    </w:pPr>
  </w:style>
  <w:style w:type="character" w:customStyle="1" w:styleId="HeaderChar">
    <w:name w:val="Header Char"/>
    <w:basedOn w:val="DefaultParagraphFont"/>
    <w:link w:val="Header"/>
    <w:uiPriority w:val="99"/>
    <w:rsid w:val="00C86CD9"/>
    <w:rPr>
      <w:rFonts w:ascii="Calibri" w:hAnsi="Calibri" w:cs="Times New Roman"/>
    </w:rPr>
  </w:style>
  <w:style w:type="paragraph" w:styleId="Footer">
    <w:name w:val="footer"/>
    <w:basedOn w:val="Normal"/>
    <w:link w:val="FooterChar"/>
    <w:uiPriority w:val="99"/>
    <w:unhideWhenUsed/>
    <w:rsid w:val="00C86CD9"/>
    <w:pPr>
      <w:tabs>
        <w:tab w:val="center" w:pos="4513"/>
        <w:tab w:val="right" w:pos="9026"/>
      </w:tabs>
    </w:pPr>
  </w:style>
  <w:style w:type="character" w:customStyle="1" w:styleId="FooterChar">
    <w:name w:val="Footer Char"/>
    <w:basedOn w:val="DefaultParagraphFont"/>
    <w:link w:val="Footer"/>
    <w:uiPriority w:val="99"/>
    <w:rsid w:val="00C86CD9"/>
    <w:rPr>
      <w:rFonts w:ascii="Calibri" w:hAnsi="Calibri" w:cs="Times New Roman"/>
    </w:rPr>
  </w:style>
  <w:style w:type="paragraph" w:styleId="BalloonText">
    <w:name w:val="Balloon Text"/>
    <w:basedOn w:val="Normal"/>
    <w:link w:val="BalloonTextChar"/>
    <w:uiPriority w:val="99"/>
    <w:semiHidden/>
    <w:unhideWhenUsed/>
    <w:rsid w:val="00C86CD9"/>
    <w:rPr>
      <w:rFonts w:ascii="Tahoma" w:hAnsi="Tahoma" w:cs="Tahoma"/>
      <w:sz w:val="16"/>
      <w:szCs w:val="16"/>
    </w:rPr>
  </w:style>
  <w:style w:type="character" w:customStyle="1" w:styleId="BalloonTextChar">
    <w:name w:val="Balloon Text Char"/>
    <w:basedOn w:val="DefaultParagraphFont"/>
    <w:link w:val="BalloonText"/>
    <w:uiPriority w:val="99"/>
    <w:semiHidden/>
    <w:rsid w:val="00C86CD9"/>
    <w:rPr>
      <w:rFonts w:ascii="Tahoma" w:hAnsi="Tahoma" w:cs="Tahoma"/>
      <w:sz w:val="16"/>
      <w:szCs w:val="16"/>
    </w:rPr>
  </w:style>
  <w:style w:type="character" w:styleId="CommentReference">
    <w:name w:val="annotation reference"/>
    <w:basedOn w:val="DefaultParagraphFont"/>
    <w:uiPriority w:val="99"/>
    <w:semiHidden/>
    <w:unhideWhenUsed/>
    <w:rsid w:val="00A409AB"/>
    <w:rPr>
      <w:sz w:val="16"/>
      <w:szCs w:val="16"/>
    </w:rPr>
  </w:style>
  <w:style w:type="paragraph" w:styleId="CommentText">
    <w:name w:val="annotation text"/>
    <w:basedOn w:val="Normal"/>
    <w:link w:val="CommentTextChar"/>
    <w:uiPriority w:val="99"/>
    <w:semiHidden/>
    <w:unhideWhenUsed/>
    <w:rsid w:val="00A409AB"/>
    <w:rPr>
      <w:sz w:val="20"/>
      <w:szCs w:val="20"/>
    </w:rPr>
  </w:style>
  <w:style w:type="character" w:customStyle="1" w:styleId="CommentTextChar">
    <w:name w:val="Comment Text Char"/>
    <w:basedOn w:val="DefaultParagraphFont"/>
    <w:link w:val="CommentText"/>
    <w:uiPriority w:val="99"/>
    <w:semiHidden/>
    <w:rsid w:val="00A409A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9AB"/>
    <w:rPr>
      <w:b/>
      <w:bCs/>
    </w:rPr>
  </w:style>
  <w:style w:type="character" w:customStyle="1" w:styleId="CommentSubjectChar">
    <w:name w:val="Comment Subject Char"/>
    <w:basedOn w:val="CommentTextChar"/>
    <w:link w:val="CommentSubject"/>
    <w:uiPriority w:val="99"/>
    <w:semiHidden/>
    <w:rsid w:val="00A409AB"/>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00824">
      <w:bodyDiv w:val="1"/>
      <w:marLeft w:val="0"/>
      <w:marRight w:val="0"/>
      <w:marTop w:val="0"/>
      <w:marBottom w:val="0"/>
      <w:divBdr>
        <w:top w:val="none" w:sz="0" w:space="0" w:color="auto"/>
        <w:left w:val="none" w:sz="0" w:space="0" w:color="auto"/>
        <w:bottom w:val="none" w:sz="0" w:space="0" w:color="auto"/>
        <w:right w:val="none" w:sz="0" w:space="0" w:color="auto"/>
      </w:divBdr>
    </w:div>
    <w:div w:id="201675220">
      <w:bodyDiv w:val="1"/>
      <w:marLeft w:val="0"/>
      <w:marRight w:val="0"/>
      <w:marTop w:val="0"/>
      <w:marBottom w:val="0"/>
      <w:divBdr>
        <w:top w:val="none" w:sz="0" w:space="0" w:color="auto"/>
        <w:left w:val="none" w:sz="0" w:space="0" w:color="auto"/>
        <w:bottom w:val="none" w:sz="0" w:space="0" w:color="auto"/>
        <w:right w:val="none" w:sz="0" w:space="0" w:color="auto"/>
      </w:divBdr>
    </w:div>
    <w:div w:id="209810713">
      <w:bodyDiv w:val="1"/>
      <w:marLeft w:val="0"/>
      <w:marRight w:val="0"/>
      <w:marTop w:val="0"/>
      <w:marBottom w:val="0"/>
      <w:divBdr>
        <w:top w:val="none" w:sz="0" w:space="0" w:color="auto"/>
        <w:left w:val="none" w:sz="0" w:space="0" w:color="auto"/>
        <w:bottom w:val="none" w:sz="0" w:space="0" w:color="auto"/>
        <w:right w:val="none" w:sz="0" w:space="0" w:color="auto"/>
      </w:divBdr>
    </w:div>
    <w:div w:id="623148410">
      <w:bodyDiv w:val="1"/>
      <w:marLeft w:val="0"/>
      <w:marRight w:val="0"/>
      <w:marTop w:val="0"/>
      <w:marBottom w:val="0"/>
      <w:divBdr>
        <w:top w:val="none" w:sz="0" w:space="0" w:color="auto"/>
        <w:left w:val="none" w:sz="0" w:space="0" w:color="auto"/>
        <w:bottom w:val="none" w:sz="0" w:space="0" w:color="auto"/>
        <w:right w:val="none" w:sz="0" w:space="0" w:color="auto"/>
      </w:divBdr>
    </w:div>
    <w:div w:id="693847109">
      <w:bodyDiv w:val="1"/>
      <w:marLeft w:val="0"/>
      <w:marRight w:val="0"/>
      <w:marTop w:val="0"/>
      <w:marBottom w:val="0"/>
      <w:divBdr>
        <w:top w:val="none" w:sz="0" w:space="0" w:color="auto"/>
        <w:left w:val="none" w:sz="0" w:space="0" w:color="auto"/>
        <w:bottom w:val="none" w:sz="0" w:space="0" w:color="auto"/>
        <w:right w:val="none" w:sz="0" w:space="0" w:color="auto"/>
      </w:divBdr>
      <w:divsChild>
        <w:div w:id="323900424">
          <w:marLeft w:val="547"/>
          <w:marRight w:val="0"/>
          <w:marTop w:val="134"/>
          <w:marBottom w:val="0"/>
          <w:divBdr>
            <w:top w:val="none" w:sz="0" w:space="0" w:color="auto"/>
            <w:left w:val="none" w:sz="0" w:space="0" w:color="auto"/>
            <w:bottom w:val="none" w:sz="0" w:space="0" w:color="auto"/>
            <w:right w:val="none" w:sz="0" w:space="0" w:color="auto"/>
          </w:divBdr>
        </w:div>
        <w:div w:id="349845104">
          <w:marLeft w:val="547"/>
          <w:marRight w:val="0"/>
          <w:marTop w:val="134"/>
          <w:marBottom w:val="0"/>
          <w:divBdr>
            <w:top w:val="none" w:sz="0" w:space="0" w:color="auto"/>
            <w:left w:val="none" w:sz="0" w:space="0" w:color="auto"/>
            <w:bottom w:val="none" w:sz="0" w:space="0" w:color="auto"/>
            <w:right w:val="none" w:sz="0" w:space="0" w:color="auto"/>
          </w:divBdr>
        </w:div>
        <w:div w:id="2048526390">
          <w:marLeft w:val="547"/>
          <w:marRight w:val="0"/>
          <w:marTop w:val="134"/>
          <w:marBottom w:val="0"/>
          <w:divBdr>
            <w:top w:val="none" w:sz="0" w:space="0" w:color="auto"/>
            <w:left w:val="none" w:sz="0" w:space="0" w:color="auto"/>
            <w:bottom w:val="none" w:sz="0" w:space="0" w:color="auto"/>
            <w:right w:val="none" w:sz="0" w:space="0" w:color="auto"/>
          </w:divBdr>
        </w:div>
        <w:div w:id="1260413474">
          <w:marLeft w:val="547"/>
          <w:marRight w:val="0"/>
          <w:marTop w:val="134"/>
          <w:marBottom w:val="0"/>
          <w:divBdr>
            <w:top w:val="none" w:sz="0" w:space="0" w:color="auto"/>
            <w:left w:val="none" w:sz="0" w:space="0" w:color="auto"/>
            <w:bottom w:val="none" w:sz="0" w:space="0" w:color="auto"/>
            <w:right w:val="none" w:sz="0" w:space="0" w:color="auto"/>
          </w:divBdr>
        </w:div>
        <w:div w:id="1970893263">
          <w:marLeft w:val="547"/>
          <w:marRight w:val="0"/>
          <w:marTop w:val="134"/>
          <w:marBottom w:val="0"/>
          <w:divBdr>
            <w:top w:val="none" w:sz="0" w:space="0" w:color="auto"/>
            <w:left w:val="none" w:sz="0" w:space="0" w:color="auto"/>
            <w:bottom w:val="none" w:sz="0" w:space="0" w:color="auto"/>
            <w:right w:val="none" w:sz="0" w:space="0" w:color="auto"/>
          </w:divBdr>
        </w:div>
      </w:divsChild>
    </w:div>
    <w:div w:id="744187551">
      <w:bodyDiv w:val="1"/>
      <w:marLeft w:val="0"/>
      <w:marRight w:val="0"/>
      <w:marTop w:val="0"/>
      <w:marBottom w:val="0"/>
      <w:divBdr>
        <w:top w:val="none" w:sz="0" w:space="0" w:color="auto"/>
        <w:left w:val="none" w:sz="0" w:space="0" w:color="auto"/>
        <w:bottom w:val="none" w:sz="0" w:space="0" w:color="auto"/>
        <w:right w:val="none" w:sz="0" w:space="0" w:color="auto"/>
      </w:divBdr>
    </w:div>
    <w:div w:id="969745237">
      <w:bodyDiv w:val="1"/>
      <w:marLeft w:val="0"/>
      <w:marRight w:val="0"/>
      <w:marTop w:val="0"/>
      <w:marBottom w:val="0"/>
      <w:divBdr>
        <w:top w:val="none" w:sz="0" w:space="0" w:color="auto"/>
        <w:left w:val="none" w:sz="0" w:space="0" w:color="auto"/>
        <w:bottom w:val="none" w:sz="0" w:space="0" w:color="auto"/>
        <w:right w:val="none" w:sz="0" w:space="0" w:color="auto"/>
      </w:divBdr>
    </w:div>
    <w:div w:id="987899005">
      <w:bodyDiv w:val="1"/>
      <w:marLeft w:val="0"/>
      <w:marRight w:val="0"/>
      <w:marTop w:val="0"/>
      <w:marBottom w:val="0"/>
      <w:divBdr>
        <w:top w:val="none" w:sz="0" w:space="0" w:color="auto"/>
        <w:left w:val="none" w:sz="0" w:space="0" w:color="auto"/>
        <w:bottom w:val="none" w:sz="0" w:space="0" w:color="auto"/>
        <w:right w:val="none" w:sz="0" w:space="0" w:color="auto"/>
      </w:divBdr>
    </w:div>
    <w:div w:id="1622032884">
      <w:bodyDiv w:val="1"/>
      <w:marLeft w:val="0"/>
      <w:marRight w:val="0"/>
      <w:marTop w:val="0"/>
      <w:marBottom w:val="0"/>
      <w:divBdr>
        <w:top w:val="none" w:sz="0" w:space="0" w:color="auto"/>
        <w:left w:val="none" w:sz="0" w:space="0" w:color="auto"/>
        <w:bottom w:val="none" w:sz="0" w:space="0" w:color="auto"/>
        <w:right w:val="none" w:sz="0" w:space="0" w:color="auto"/>
      </w:divBdr>
    </w:div>
    <w:div w:id="1911233976">
      <w:bodyDiv w:val="1"/>
      <w:marLeft w:val="0"/>
      <w:marRight w:val="0"/>
      <w:marTop w:val="0"/>
      <w:marBottom w:val="0"/>
      <w:divBdr>
        <w:top w:val="none" w:sz="0" w:space="0" w:color="auto"/>
        <w:left w:val="none" w:sz="0" w:space="0" w:color="auto"/>
        <w:bottom w:val="none" w:sz="0" w:space="0" w:color="auto"/>
        <w:right w:val="none" w:sz="0" w:space="0" w:color="auto"/>
      </w:divBdr>
    </w:div>
    <w:div w:id="1953319140">
      <w:bodyDiv w:val="1"/>
      <w:marLeft w:val="0"/>
      <w:marRight w:val="0"/>
      <w:marTop w:val="0"/>
      <w:marBottom w:val="0"/>
      <w:divBdr>
        <w:top w:val="none" w:sz="0" w:space="0" w:color="auto"/>
        <w:left w:val="none" w:sz="0" w:space="0" w:color="auto"/>
        <w:bottom w:val="none" w:sz="0" w:space="0" w:color="auto"/>
        <w:right w:val="none" w:sz="0" w:space="0" w:color="auto"/>
      </w:divBdr>
    </w:div>
    <w:div w:id="2004509767">
      <w:bodyDiv w:val="1"/>
      <w:marLeft w:val="0"/>
      <w:marRight w:val="0"/>
      <w:marTop w:val="0"/>
      <w:marBottom w:val="0"/>
      <w:divBdr>
        <w:top w:val="none" w:sz="0" w:space="0" w:color="auto"/>
        <w:left w:val="none" w:sz="0" w:space="0" w:color="auto"/>
        <w:bottom w:val="none" w:sz="0" w:space="0" w:color="auto"/>
        <w:right w:val="none" w:sz="0" w:space="0" w:color="auto"/>
      </w:divBdr>
    </w:div>
    <w:div w:id="213925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metbio.net/metbioAboutu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D4252-9AF1-42D9-BA0B-D01954BB5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1640</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dc:creator>
  <cp:lastModifiedBy>Helena Kemp</cp:lastModifiedBy>
  <cp:revision>4</cp:revision>
  <cp:lastPrinted>2020-08-19T09:59:00Z</cp:lastPrinted>
  <dcterms:created xsi:type="dcterms:W3CDTF">2020-09-15T13:34:00Z</dcterms:created>
  <dcterms:modified xsi:type="dcterms:W3CDTF">2024-02-23T13:07:00Z</dcterms:modified>
</cp:coreProperties>
</file>